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62" w:rsidRPr="00B306A5" w:rsidRDefault="00C40C62" w:rsidP="00092BFC">
      <w:pPr>
        <w:keepNext/>
        <w:keepLines/>
        <w:spacing w:before="120" w:after="120"/>
        <w:jc w:val="center"/>
        <w:outlineLvl w:val="0"/>
        <w:rPr>
          <w:rFonts w:ascii="Times New Roman" w:eastAsia="Times New Roman" w:hAnsi="Times New Roman" w:cs="Times New Roman"/>
          <w:b/>
          <w:bCs/>
          <w:kern w:val="32"/>
          <w:sz w:val="28"/>
          <w:szCs w:val="24"/>
          <w:lang w:val="ro-RO" w:eastAsia="ro-RO"/>
        </w:rPr>
      </w:pPr>
      <w:r w:rsidRPr="00B306A5">
        <w:rPr>
          <w:rFonts w:ascii="Times New Roman" w:eastAsia="Times New Roman" w:hAnsi="Times New Roman" w:cs="Times New Roman"/>
          <w:b/>
          <w:bCs/>
          <w:kern w:val="32"/>
          <w:sz w:val="28"/>
          <w:szCs w:val="24"/>
          <w:lang w:val="ro-RO" w:eastAsia="ro-RO"/>
        </w:rPr>
        <w:t>П Р О Т О К О Л</w:t>
      </w:r>
    </w:p>
    <w:p w:rsidR="00C40C62" w:rsidRPr="00B306A5" w:rsidRDefault="00092BFC" w:rsidP="00092BFC">
      <w:pPr>
        <w:spacing w:before="120" w:after="120"/>
        <w:ind w:left="3600" w:firstLine="720"/>
        <w:jc w:val="both"/>
        <w:rPr>
          <w:rFonts w:ascii="Times New Roman" w:eastAsia="Times New Roman" w:hAnsi="Times New Roman" w:cs="Times New Roman"/>
          <w:b/>
          <w:sz w:val="28"/>
          <w:szCs w:val="24"/>
          <w:lang w:val="en-US" w:eastAsia="bg-BG"/>
        </w:rPr>
      </w:pPr>
      <w:r>
        <w:rPr>
          <w:rFonts w:ascii="Times New Roman" w:eastAsia="Times New Roman" w:hAnsi="Times New Roman" w:cs="Times New Roman"/>
          <w:b/>
          <w:sz w:val="28"/>
          <w:szCs w:val="24"/>
          <w:lang w:eastAsia="bg-BG"/>
        </w:rPr>
        <w:t>№ 2</w:t>
      </w:r>
    </w:p>
    <w:p w:rsidR="00C40C62" w:rsidRPr="00B429B6" w:rsidRDefault="00C40C62" w:rsidP="00092BFC">
      <w:pPr>
        <w:spacing w:before="120" w:after="120"/>
        <w:ind w:firstLine="708"/>
        <w:jc w:val="both"/>
        <w:rPr>
          <w:rFonts w:ascii="Times New Roman" w:eastAsia="Times New Roman" w:hAnsi="Times New Roman" w:cs="Times New Roman"/>
          <w:i/>
          <w:sz w:val="20"/>
          <w:szCs w:val="20"/>
          <w:lang w:eastAsia="bg-BG"/>
        </w:rPr>
      </w:pPr>
      <w:r w:rsidRPr="007E6AB1">
        <w:rPr>
          <w:rFonts w:ascii="Times New Roman" w:eastAsia="Times New Roman" w:hAnsi="Times New Roman" w:cs="Times New Roman"/>
          <w:i/>
          <w:sz w:val="20"/>
          <w:szCs w:val="20"/>
          <w:lang w:eastAsia="bg-BG"/>
        </w:rPr>
        <w:t xml:space="preserve">Процедурата е открита с Решение </w:t>
      </w:r>
      <w:r w:rsidR="00B429B6" w:rsidRPr="007E6AB1">
        <w:rPr>
          <w:rFonts w:ascii="Times New Roman" w:eastAsia="Times New Roman" w:hAnsi="Times New Roman" w:cs="Times New Roman"/>
          <w:i/>
          <w:sz w:val="20"/>
          <w:szCs w:val="20"/>
          <w:lang w:eastAsia="bg-BG"/>
        </w:rPr>
        <w:t>РД-01-786 от 16.03.2016 г. </w:t>
      </w:r>
      <w:r w:rsidR="000E4EF9" w:rsidRPr="007E6AB1">
        <w:rPr>
          <w:rFonts w:ascii="Times New Roman" w:eastAsia="Times New Roman" w:hAnsi="Times New Roman" w:cs="Times New Roman"/>
          <w:i/>
          <w:sz w:val="20"/>
          <w:szCs w:val="20"/>
          <w:lang w:eastAsia="bg-BG"/>
        </w:rPr>
        <w:t xml:space="preserve"> </w:t>
      </w:r>
      <w:r w:rsidRPr="007E6AB1">
        <w:rPr>
          <w:rFonts w:ascii="Times New Roman" w:eastAsia="Times New Roman" w:hAnsi="Times New Roman" w:cs="Times New Roman"/>
          <w:i/>
          <w:sz w:val="20"/>
          <w:szCs w:val="20"/>
          <w:lang w:eastAsia="bg-BG"/>
        </w:rPr>
        <w:t>на Кмета на Община Русе.</w:t>
      </w:r>
      <w:r w:rsidRPr="00B429B6">
        <w:rPr>
          <w:rFonts w:ascii="Times New Roman" w:eastAsia="Times New Roman" w:hAnsi="Times New Roman" w:cs="Times New Roman"/>
          <w:i/>
          <w:sz w:val="20"/>
          <w:szCs w:val="20"/>
          <w:lang w:eastAsia="bg-BG"/>
        </w:rPr>
        <w:t xml:space="preserve"> </w:t>
      </w:r>
    </w:p>
    <w:p w:rsidR="001651C3" w:rsidRDefault="001651C3" w:rsidP="00092BFC">
      <w:pPr>
        <w:spacing w:after="0"/>
        <w:jc w:val="center"/>
        <w:rPr>
          <w:rFonts w:ascii="Times New Roman" w:hAnsi="Times New Roman" w:cs="Times New Roman"/>
          <w:sz w:val="24"/>
          <w:szCs w:val="24"/>
        </w:rPr>
      </w:pPr>
    </w:p>
    <w:p w:rsidR="007E6AB1" w:rsidRPr="001651C3" w:rsidRDefault="007E6AB1" w:rsidP="001651C3">
      <w:pPr>
        <w:spacing w:after="0"/>
        <w:jc w:val="center"/>
        <w:rPr>
          <w:rFonts w:ascii="Times New Roman" w:eastAsia="Times New Roman" w:hAnsi="Times New Roman" w:cs="Times New Roman"/>
          <w:b/>
          <w:i/>
          <w:lang w:eastAsia="ko-KR"/>
        </w:rPr>
      </w:pPr>
      <w:r w:rsidRPr="007E6AB1">
        <w:rPr>
          <w:rFonts w:ascii="Times New Roman" w:eastAsia="Times New Roman" w:hAnsi="Times New Roman" w:cs="Times New Roman"/>
          <w:b/>
          <w:i/>
          <w:lang w:val="ro-RO" w:eastAsia="ro-RO"/>
        </w:rPr>
        <w:t xml:space="preserve">Съгласно § </w:t>
      </w:r>
      <w:r w:rsidRPr="007E6AB1">
        <w:rPr>
          <w:rFonts w:ascii="Times New Roman" w:eastAsia="Times New Roman" w:hAnsi="Times New Roman" w:cs="Times New Roman"/>
          <w:b/>
          <w:i/>
          <w:lang w:eastAsia="ro-RO"/>
        </w:rPr>
        <w:t>18</w:t>
      </w:r>
      <w:r w:rsidRPr="007E6AB1">
        <w:rPr>
          <w:rFonts w:ascii="Times New Roman" w:eastAsia="Times New Roman" w:hAnsi="Times New Roman" w:cs="Times New Roman"/>
          <w:b/>
          <w:i/>
          <w:lang w:val="ro-RO" w:eastAsia="ro-RO"/>
        </w:rPr>
        <w:t xml:space="preserve"> от Закона за обществени поръчки</w:t>
      </w:r>
      <w:r w:rsidRPr="007E6AB1">
        <w:rPr>
          <w:rFonts w:ascii="Times New Roman" w:eastAsia="Times New Roman" w:hAnsi="Times New Roman" w:cs="Times New Roman"/>
          <w:b/>
          <w:i/>
          <w:lang w:eastAsia="ro-RO"/>
        </w:rPr>
        <w:t xml:space="preserve"> </w:t>
      </w:r>
      <w:r w:rsidRPr="007E6AB1">
        <w:rPr>
          <w:rFonts w:ascii="Times New Roman" w:eastAsia="Times New Roman" w:hAnsi="Times New Roman" w:cs="Times New Roman"/>
          <w:b/>
          <w:i/>
          <w:lang w:val="ro-RO" w:eastAsia="ro-RO"/>
        </w:rPr>
        <w:t xml:space="preserve">/в сила от </w:t>
      </w:r>
      <w:r w:rsidRPr="007E6AB1">
        <w:rPr>
          <w:rFonts w:ascii="Times New Roman" w:eastAsia="Times New Roman" w:hAnsi="Times New Roman" w:cs="Times New Roman"/>
          <w:b/>
          <w:i/>
          <w:lang w:eastAsia="ro-RO"/>
        </w:rPr>
        <w:t>15</w:t>
      </w:r>
      <w:r w:rsidRPr="007E6AB1">
        <w:rPr>
          <w:rFonts w:ascii="Times New Roman" w:eastAsia="Times New Roman" w:hAnsi="Times New Roman" w:cs="Times New Roman"/>
          <w:b/>
          <w:i/>
          <w:lang w:val="ro-RO" w:eastAsia="ro-RO"/>
        </w:rPr>
        <w:t>.0</w:t>
      </w:r>
      <w:r w:rsidRPr="007E6AB1">
        <w:rPr>
          <w:rFonts w:ascii="Times New Roman" w:eastAsia="Times New Roman" w:hAnsi="Times New Roman" w:cs="Times New Roman"/>
          <w:b/>
          <w:i/>
          <w:lang w:eastAsia="ro-RO"/>
        </w:rPr>
        <w:t>4</w:t>
      </w:r>
      <w:r w:rsidRPr="007E6AB1">
        <w:rPr>
          <w:rFonts w:ascii="Times New Roman" w:eastAsia="Times New Roman" w:hAnsi="Times New Roman" w:cs="Times New Roman"/>
          <w:b/>
          <w:i/>
          <w:lang w:val="ro-RO" w:eastAsia="ro-RO"/>
        </w:rPr>
        <w:t>.201</w:t>
      </w:r>
      <w:r w:rsidRPr="007E6AB1">
        <w:rPr>
          <w:rFonts w:ascii="Times New Roman" w:eastAsia="Times New Roman" w:hAnsi="Times New Roman" w:cs="Times New Roman"/>
          <w:b/>
          <w:i/>
          <w:lang w:eastAsia="ro-RO"/>
        </w:rPr>
        <w:t>6</w:t>
      </w:r>
      <w:r w:rsidRPr="007E6AB1">
        <w:rPr>
          <w:rFonts w:ascii="Times New Roman" w:eastAsia="Times New Roman" w:hAnsi="Times New Roman" w:cs="Times New Roman"/>
          <w:b/>
          <w:i/>
          <w:lang w:val="ro-RO" w:eastAsia="ro-RO"/>
        </w:rPr>
        <w:t>г./</w:t>
      </w:r>
      <w:r w:rsidRPr="007E6AB1">
        <w:rPr>
          <w:rFonts w:ascii="Times New Roman" w:eastAsia="Times New Roman" w:hAnsi="Times New Roman" w:cs="Times New Roman"/>
          <w:b/>
          <w:i/>
          <w:lang w:eastAsia="ro-RO"/>
        </w:rPr>
        <w:t xml:space="preserve">: </w:t>
      </w:r>
      <w:r w:rsidRPr="007E6AB1">
        <w:rPr>
          <w:rFonts w:ascii="Times New Roman" w:eastAsia="Times New Roman" w:hAnsi="Times New Roman" w:cs="Times New Roman"/>
          <w:b/>
          <w:i/>
          <w:lang w:eastAsia="ko-KR"/>
        </w:rPr>
        <w:t>Възлагането на обществени поръчки,  за които до влизането в сила на този закон е взето решение за откриване или е публикувана покана по реда на глава осма "а" от отменения Закон за обществените поръчки, се приключват по досегашния ред</w:t>
      </w:r>
    </w:p>
    <w:p w:rsidR="001518F9" w:rsidRDefault="001518F9" w:rsidP="00092BFC">
      <w:pPr>
        <w:spacing w:before="120" w:after="120"/>
        <w:ind w:firstLine="720"/>
        <w:jc w:val="both"/>
        <w:rPr>
          <w:rFonts w:ascii="Times New Roman" w:hAnsi="Times New Roman" w:cs="Times New Roman"/>
          <w:sz w:val="24"/>
          <w:szCs w:val="24"/>
        </w:rPr>
      </w:pPr>
    </w:p>
    <w:p w:rsidR="00C11EC3" w:rsidRPr="00B306A5" w:rsidRDefault="00D34221" w:rsidP="00092BFC">
      <w:pPr>
        <w:spacing w:before="120" w:after="120"/>
        <w:ind w:firstLine="720"/>
        <w:jc w:val="both"/>
        <w:rPr>
          <w:rFonts w:ascii="Times New Roman" w:eastAsia="Times New Roman" w:hAnsi="Times New Roman" w:cs="Times New Roman"/>
          <w:color w:val="000000"/>
          <w:sz w:val="24"/>
          <w:szCs w:val="24"/>
          <w:lang w:val="en-US" w:eastAsia="bg-BG"/>
        </w:rPr>
      </w:pPr>
      <w:r w:rsidRPr="007E6AB1">
        <w:rPr>
          <w:rFonts w:ascii="Times New Roman" w:hAnsi="Times New Roman" w:cs="Times New Roman"/>
          <w:sz w:val="24"/>
          <w:szCs w:val="24"/>
        </w:rPr>
        <w:t xml:space="preserve">Днес, </w:t>
      </w:r>
      <w:r w:rsidR="003C1E75" w:rsidRPr="003C1E75">
        <w:rPr>
          <w:rFonts w:ascii="Times New Roman" w:hAnsi="Times New Roman" w:cs="Times New Roman"/>
          <w:sz w:val="24"/>
          <w:szCs w:val="24"/>
        </w:rPr>
        <w:t>01</w:t>
      </w:r>
      <w:r w:rsidRPr="003C1E75">
        <w:rPr>
          <w:rFonts w:ascii="Times New Roman" w:hAnsi="Times New Roman" w:cs="Times New Roman"/>
          <w:sz w:val="24"/>
          <w:szCs w:val="24"/>
        </w:rPr>
        <w:t>.</w:t>
      </w:r>
      <w:r w:rsidR="003C1E75" w:rsidRPr="003C1E75">
        <w:rPr>
          <w:rFonts w:ascii="Times New Roman" w:hAnsi="Times New Roman" w:cs="Times New Roman"/>
          <w:sz w:val="24"/>
          <w:szCs w:val="24"/>
          <w:lang w:val="en-US"/>
        </w:rPr>
        <w:t>06</w:t>
      </w:r>
      <w:r w:rsidRPr="003C1E75">
        <w:rPr>
          <w:rFonts w:ascii="Times New Roman" w:hAnsi="Times New Roman" w:cs="Times New Roman"/>
          <w:sz w:val="24"/>
          <w:szCs w:val="24"/>
        </w:rPr>
        <w:t>.201</w:t>
      </w:r>
      <w:r w:rsidR="00B429B6" w:rsidRPr="003C1E75">
        <w:rPr>
          <w:rFonts w:ascii="Times New Roman" w:hAnsi="Times New Roman" w:cs="Times New Roman"/>
          <w:sz w:val="24"/>
          <w:szCs w:val="24"/>
          <w:lang w:val="en-US"/>
        </w:rPr>
        <w:t>6</w:t>
      </w:r>
      <w:r w:rsidR="003C1E75">
        <w:rPr>
          <w:rFonts w:ascii="Times New Roman" w:hAnsi="Times New Roman" w:cs="Times New Roman"/>
          <w:sz w:val="24"/>
          <w:szCs w:val="24"/>
        </w:rPr>
        <w:t xml:space="preserve"> г., 11</w:t>
      </w:r>
      <w:r w:rsidR="000E4EF9" w:rsidRPr="003C1E75">
        <w:rPr>
          <w:rFonts w:ascii="Times New Roman" w:hAnsi="Times New Roman" w:cs="Times New Roman"/>
          <w:sz w:val="24"/>
          <w:szCs w:val="24"/>
        </w:rPr>
        <w:t>:00 ч.,</w:t>
      </w:r>
      <w:r w:rsidR="000E4EF9" w:rsidRPr="007E6AB1">
        <w:rPr>
          <w:rFonts w:ascii="Times New Roman" w:hAnsi="Times New Roman" w:cs="Times New Roman"/>
          <w:sz w:val="24"/>
          <w:szCs w:val="24"/>
        </w:rPr>
        <w:t xml:space="preserve"> </w:t>
      </w:r>
      <w:r w:rsidRPr="007E6AB1">
        <w:rPr>
          <w:rFonts w:ascii="Times New Roman" w:hAnsi="Times New Roman" w:cs="Times New Roman"/>
          <w:sz w:val="24"/>
          <w:szCs w:val="24"/>
        </w:rPr>
        <w:t>Коми</w:t>
      </w:r>
      <w:r w:rsidR="00184915" w:rsidRPr="007E6AB1">
        <w:rPr>
          <w:rFonts w:ascii="Times New Roman" w:hAnsi="Times New Roman" w:cs="Times New Roman"/>
          <w:sz w:val="24"/>
          <w:szCs w:val="24"/>
        </w:rPr>
        <w:t>сия, назначена със Заповед №</w:t>
      </w:r>
      <w:r w:rsidR="00184915" w:rsidRPr="007E6AB1">
        <w:rPr>
          <w:rFonts w:ascii="Times New Roman" w:hAnsi="Times New Roman" w:cs="Times New Roman"/>
          <w:sz w:val="24"/>
          <w:szCs w:val="24"/>
          <w:lang w:val="en-US"/>
        </w:rPr>
        <w:t xml:space="preserve"> </w:t>
      </w:r>
      <w:r w:rsidR="00184915" w:rsidRPr="007E6AB1">
        <w:rPr>
          <w:rFonts w:ascii="Times New Roman" w:hAnsi="Times New Roman" w:cs="Times New Roman"/>
          <w:sz w:val="24"/>
          <w:szCs w:val="24"/>
        </w:rPr>
        <w:t>РД-01-</w:t>
      </w:r>
      <w:r w:rsidR="00B429B6" w:rsidRPr="007E6AB1">
        <w:rPr>
          <w:rFonts w:ascii="Times New Roman" w:hAnsi="Times New Roman" w:cs="Times New Roman"/>
          <w:sz w:val="24"/>
          <w:szCs w:val="24"/>
          <w:lang w:val="en-US"/>
        </w:rPr>
        <w:t>1289</w:t>
      </w:r>
      <w:r w:rsidR="00184915" w:rsidRPr="007E6AB1">
        <w:rPr>
          <w:rFonts w:ascii="Times New Roman" w:hAnsi="Times New Roman" w:cs="Times New Roman"/>
          <w:sz w:val="24"/>
          <w:szCs w:val="24"/>
        </w:rPr>
        <w:t xml:space="preserve"> от </w:t>
      </w:r>
      <w:r w:rsidR="00B429B6" w:rsidRPr="007E6AB1">
        <w:rPr>
          <w:rFonts w:ascii="Times New Roman" w:hAnsi="Times New Roman" w:cs="Times New Roman"/>
          <w:sz w:val="24"/>
          <w:szCs w:val="24"/>
          <w:lang w:val="en-US"/>
        </w:rPr>
        <w:t>27.</w:t>
      </w:r>
      <w:r w:rsidR="00184915" w:rsidRPr="007E6AB1">
        <w:rPr>
          <w:rFonts w:ascii="Times New Roman" w:hAnsi="Times New Roman" w:cs="Times New Roman"/>
          <w:sz w:val="24"/>
          <w:szCs w:val="24"/>
        </w:rPr>
        <w:t>0</w:t>
      </w:r>
      <w:r w:rsidR="00B429B6" w:rsidRPr="007E6AB1">
        <w:rPr>
          <w:rFonts w:ascii="Times New Roman" w:hAnsi="Times New Roman" w:cs="Times New Roman"/>
          <w:sz w:val="24"/>
          <w:szCs w:val="24"/>
        </w:rPr>
        <w:t>4.2016</w:t>
      </w:r>
      <w:r w:rsidR="00184915" w:rsidRPr="007E6AB1">
        <w:rPr>
          <w:rFonts w:ascii="Times New Roman" w:hAnsi="Times New Roman" w:cs="Times New Roman"/>
          <w:sz w:val="24"/>
          <w:szCs w:val="24"/>
        </w:rPr>
        <w:t xml:space="preserve"> г. </w:t>
      </w:r>
      <w:r w:rsidR="00C11EC3" w:rsidRPr="007E6AB1">
        <w:rPr>
          <w:rFonts w:ascii="Times New Roman" w:eastAsia="Times New Roman" w:hAnsi="Times New Roman" w:cs="Times New Roman"/>
          <w:sz w:val="24"/>
          <w:szCs w:val="24"/>
          <w:lang w:eastAsia="bg-BG"/>
        </w:rPr>
        <w:t>на кмета на Община Русе в състав:</w:t>
      </w:r>
      <w:r w:rsidR="00C11EC3" w:rsidRPr="00B306A5">
        <w:rPr>
          <w:rFonts w:ascii="Times New Roman" w:eastAsia="Times New Roman" w:hAnsi="Times New Roman" w:cs="Times New Roman"/>
          <w:color w:val="000000"/>
          <w:sz w:val="24"/>
          <w:szCs w:val="24"/>
          <w:lang w:eastAsia="bg-BG"/>
        </w:rPr>
        <w:t xml:space="preserve"> </w:t>
      </w:r>
    </w:p>
    <w:p w:rsidR="00B429B6" w:rsidRPr="00B429B6" w:rsidRDefault="00B429B6" w:rsidP="00092BFC">
      <w:pPr>
        <w:spacing w:after="0"/>
        <w:ind w:firstLine="720"/>
        <w:jc w:val="both"/>
        <w:rPr>
          <w:rFonts w:ascii="Times New Roman" w:eastAsia="Times New Roman" w:hAnsi="Times New Roman" w:cs="Times New Roman"/>
          <w:b/>
          <w:bCs/>
          <w:sz w:val="24"/>
          <w:szCs w:val="24"/>
        </w:rPr>
      </w:pPr>
      <w:r w:rsidRPr="00B429B6">
        <w:rPr>
          <w:rFonts w:ascii="Times New Roman" w:eastAsia="Times New Roman" w:hAnsi="Times New Roman" w:cs="Times New Roman"/>
          <w:b/>
          <w:bCs/>
          <w:sz w:val="24"/>
          <w:szCs w:val="24"/>
        </w:rPr>
        <w:t>ЧЛЕНОВЕ:</w:t>
      </w:r>
    </w:p>
    <w:p w:rsidR="00B429B6" w:rsidRPr="00B429B6" w:rsidRDefault="00B429B6" w:rsidP="00092BFC">
      <w:pPr>
        <w:numPr>
          <w:ilvl w:val="0"/>
          <w:numId w:val="27"/>
        </w:numPr>
        <w:overflowPunct w:val="0"/>
        <w:autoSpaceDE w:val="0"/>
        <w:autoSpaceDN w:val="0"/>
        <w:adjustRightInd w:val="0"/>
        <w:spacing w:after="0"/>
        <w:contextualSpacing/>
        <w:textAlignment w:val="baseline"/>
        <w:rPr>
          <w:rFonts w:ascii="Times New Roman" w:eastAsia="Times New Roman" w:hAnsi="Times New Roman" w:cs="Times New Roman"/>
          <w:bCs/>
          <w:sz w:val="24"/>
          <w:szCs w:val="24"/>
        </w:rPr>
      </w:pPr>
      <w:r w:rsidRPr="00B429B6">
        <w:rPr>
          <w:rFonts w:ascii="Times New Roman" w:eastAsia="Times New Roman" w:hAnsi="Times New Roman" w:cs="Times New Roman"/>
          <w:bCs/>
          <w:sz w:val="24"/>
          <w:szCs w:val="24"/>
        </w:rPr>
        <w:t>Милена Трифонова– ст. юрисконсулт отдел ПНО;</w:t>
      </w:r>
    </w:p>
    <w:p w:rsidR="00B429B6" w:rsidRPr="00B429B6" w:rsidRDefault="00B429B6" w:rsidP="00092BFC">
      <w:pPr>
        <w:numPr>
          <w:ilvl w:val="0"/>
          <w:numId w:val="27"/>
        </w:numPr>
        <w:overflowPunct w:val="0"/>
        <w:autoSpaceDE w:val="0"/>
        <w:autoSpaceDN w:val="0"/>
        <w:adjustRightInd w:val="0"/>
        <w:spacing w:after="0"/>
        <w:contextualSpacing/>
        <w:jc w:val="both"/>
        <w:textAlignment w:val="baseline"/>
        <w:rPr>
          <w:rFonts w:ascii="Times New Roman" w:eastAsia="Times New Roman" w:hAnsi="Times New Roman" w:cs="Times New Roman"/>
          <w:bCs/>
          <w:sz w:val="24"/>
          <w:szCs w:val="24"/>
        </w:rPr>
      </w:pPr>
      <w:r w:rsidRPr="00B429B6">
        <w:rPr>
          <w:rFonts w:ascii="Times New Roman" w:hAnsi="Times New Roman" w:cs="Times New Roman"/>
          <w:sz w:val="24"/>
        </w:rPr>
        <w:t xml:space="preserve">Василена Николова – </w:t>
      </w:r>
      <w:r w:rsidRPr="00B429B6">
        <w:rPr>
          <w:rFonts w:ascii="Times New Roman" w:eastAsia="Times New Roman" w:hAnsi="Times New Roman" w:cs="Times New Roman"/>
          <w:sz w:val="24"/>
          <w:szCs w:val="20"/>
          <w:lang w:eastAsia="bg-BG"/>
        </w:rPr>
        <w:t>инспектор в отдел „Екология“</w:t>
      </w:r>
      <w:r w:rsidRPr="00B429B6">
        <w:rPr>
          <w:rFonts w:ascii="Times New Roman" w:hAnsi="Times New Roman" w:cs="Times New Roman"/>
          <w:sz w:val="24"/>
        </w:rPr>
        <w:t>;</w:t>
      </w:r>
    </w:p>
    <w:p w:rsidR="00B429B6" w:rsidRPr="00B429B6" w:rsidRDefault="00B429B6" w:rsidP="00092BFC">
      <w:pPr>
        <w:numPr>
          <w:ilvl w:val="0"/>
          <w:numId w:val="27"/>
        </w:numPr>
        <w:overflowPunct w:val="0"/>
        <w:autoSpaceDE w:val="0"/>
        <w:autoSpaceDN w:val="0"/>
        <w:adjustRightInd w:val="0"/>
        <w:spacing w:after="0"/>
        <w:contextualSpacing/>
        <w:jc w:val="both"/>
        <w:textAlignment w:val="baseline"/>
        <w:rPr>
          <w:rFonts w:ascii="Times New Roman" w:eastAsia="Times New Roman" w:hAnsi="Times New Roman" w:cs="Times New Roman"/>
          <w:bCs/>
          <w:sz w:val="24"/>
          <w:szCs w:val="24"/>
        </w:rPr>
      </w:pPr>
      <w:r w:rsidRPr="00B429B6">
        <w:rPr>
          <w:rFonts w:ascii="Times New Roman" w:eastAsia="Times New Roman" w:hAnsi="Times New Roman" w:cs="Times New Roman"/>
          <w:bCs/>
          <w:sz w:val="24"/>
          <w:szCs w:val="24"/>
        </w:rPr>
        <w:t>Елена Иванова – гл. инспектор в отдел „Екология“;</w:t>
      </w:r>
    </w:p>
    <w:p w:rsidR="00B429B6" w:rsidRPr="00B429B6" w:rsidRDefault="00B429B6" w:rsidP="00092BFC">
      <w:pPr>
        <w:numPr>
          <w:ilvl w:val="0"/>
          <w:numId w:val="27"/>
        </w:numPr>
        <w:overflowPunct w:val="0"/>
        <w:autoSpaceDE w:val="0"/>
        <w:autoSpaceDN w:val="0"/>
        <w:adjustRightInd w:val="0"/>
        <w:spacing w:after="0"/>
        <w:contextualSpacing/>
        <w:jc w:val="both"/>
        <w:textAlignment w:val="baseline"/>
        <w:rPr>
          <w:rFonts w:ascii="Times New Roman" w:eastAsia="Times New Roman" w:hAnsi="Times New Roman" w:cs="Times New Roman"/>
          <w:bCs/>
          <w:sz w:val="24"/>
          <w:szCs w:val="24"/>
        </w:rPr>
      </w:pPr>
      <w:r w:rsidRPr="00B429B6">
        <w:rPr>
          <w:rFonts w:ascii="Times New Roman" w:eastAsia="Times New Roman" w:hAnsi="Times New Roman" w:cs="Times New Roman"/>
          <w:bCs/>
          <w:sz w:val="24"/>
          <w:szCs w:val="24"/>
        </w:rPr>
        <w:t>Георги Дурчов – магистър по специалност „Строителство на сгради и съоръжения“, външен експерт, регистриран в списъка по чл.19 ал.2 т.8 от ЗОП под номер ВЕ-131;</w:t>
      </w:r>
    </w:p>
    <w:p w:rsidR="00B429B6" w:rsidRPr="00B429B6" w:rsidRDefault="00B429B6" w:rsidP="00092BFC">
      <w:pPr>
        <w:numPr>
          <w:ilvl w:val="0"/>
          <w:numId w:val="27"/>
        </w:numPr>
        <w:overflowPunct w:val="0"/>
        <w:autoSpaceDE w:val="0"/>
        <w:autoSpaceDN w:val="0"/>
        <w:adjustRightInd w:val="0"/>
        <w:spacing w:after="0"/>
        <w:contextualSpacing/>
        <w:jc w:val="both"/>
        <w:textAlignment w:val="baseline"/>
        <w:rPr>
          <w:rFonts w:ascii="Times New Roman" w:eastAsia="Times New Roman" w:hAnsi="Times New Roman" w:cs="Times New Roman"/>
          <w:bCs/>
          <w:sz w:val="24"/>
          <w:szCs w:val="24"/>
        </w:rPr>
      </w:pPr>
      <w:r w:rsidRPr="00B429B6">
        <w:rPr>
          <w:rFonts w:ascii="Times New Roman" w:eastAsia="Times New Roman" w:hAnsi="Times New Roman" w:cs="Times New Roman"/>
          <w:bCs/>
          <w:sz w:val="24"/>
          <w:szCs w:val="24"/>
        </w:rPr>
        <w:t>Недялка Николова – юрист, външен експерт, регистриран в регистриран в списъка по чл.19 ал.2 т.8 от ЗОП под номер ВЕ-343.</w:t>
      </w:r>
    </w:p>
    <w:p w:rsidR="00B429B6" w:rsidRPr="00B429B6" w:rsidRDefault="00B429B6" w:rsidP="00092BFC">
      <w:pPr>
        <w:spacing w:after="0"/>
        <w:ind w:left="1495"/>
        <w:contextualSpacing/>
        <w:jc w:val="both"/>
        <w:rPr>
          <w:rFonts w:ascii="Times New Roman" w:eastAsia="Times New Roman" w:hAnsi="Times New Roman" w:cs="Times New Roman"/>
          <w:bCs/>
          <w:sz w:val="24"/>
          <w:szCs w:val="24"/>
        </w:rPr>
      </w:pPr>
    </w:p>
    <w:p w:rsidR="00B429B6" w:rsidRPr="00B429B6" w:rsidRDefault="00B429B6" w:rsidP="00092BFC">
      <w:pPr>
        <w:spacing w:after="0"/>
        <w:ind w:left="1495"/>
        <w:contextualSpacing/>
        <w:jc w:val="both"/>
        <w:rPr>
          <w:rFonts w:ascii="Times New Roman" w:eastAsia="Times New Roman" w:hAnsi="Times New Roman" w:cs="Times New Roman"/>
          <w:b/>
          <w:bCs/>
          <w:sz w:val="24"/>
          <w:szCs w:val="24"/>
        </w:rPr>
      </w:pPr>
      <w:r w:rsidRPr="00B429B6">
        <w:rPr>
          <w:rFonts w:ascii="Times New Roman" w:eastAsia="Times New Roman" w:hAnsi="Times New Roman" w:cs="Times New Roman"/>
          <w:b/>
          <w:bCs/>
          <w:sz w:val="24"/>
          <w:szCs w:val="24"/>
        </w:rPr>
        <w:t>РЕЗЕРВНИ ЧЛЕНОВЕ:</w:t>
      </w:r>
    </w:p>
    <w:p w:rsidR="00B429B6" w:rsidRPr="00B429B6" w:rsidRDefault="00B429B6" w:rsidP="00092BFC">
      <w:pPr>
        <w:numPr>
          <w:ilvl w:val="0"/>
          <w:numId w:val="28"/>
        </w:numPr>
        <w:overflowPunct w:val="0"/>
        <w:autoSpaceDE w:val="0"/>
        <w:autoSpaceDN w:val="0"/>
        <w:adjustRightInd w:val="0"/>
        <w:spacing w:after="0"/>
        <w:contextualSpacing/>
        <w:jc w:val="both"/>
        <w:textAlignment w:val="baseline"/>
        <w:rPr>
          <w:rFonts w:ascii="Times New Roman" w:eastAsia="Times New Roman" w:hAnsi="Times New Roman" w:cs="Times New Roman"/>
          <w:bCs/>
          <w:sz w:val="24"/>
          <w:szCs w:val="24"/>
        </w:rPr>
      </w:pPr>
      <w:proofErr w:type="spellStart"/>
      <w:r w:rsidRPr="00B429B6">
        <w:rPr>
          <w:rFonts w:ascii="Times New Roman" w:eastAsia="Times New Roman" w:hAnsi="Times New Roman" w:cs="Times New Roman"/>
          <w:bCs/>
          <w:sz w:val="24"/>
          <w:szCs w:val="24"/>
        </w:rPr>
        <w:t>Шенел</w:t>
      </w:r>
      <w:proofErr w:type="spellEnd"/>
      <w:r w:rsidRPr="00B429B6">
        <w:rPr>
          <w:rFonts w:ascii="Times New Roman" w:eastAsia="Times New Roman" w:hAnsi="Times New Roman" w:cs="Times New Roman"/>
          <w:bCs/>
          <w:sz w:val="24"/>
          <w:szCs w:val="24"/>
        </w:rPr>
        <w:t xml:space="preserve"> Хасанова – началник отдел „Екология“.</w:t>
      </w:r>
    </w:p>
    <w:p w:rsidR="00B429B6" w:rsidRPr="00B429B6" w:rsidRDefault="00B429B6" w:rsidP="00092BFC">
      <w:pPr>
        <w:spacing w:after="0"/>
        <w:ind w:left="1495"/>
        <w:contextualSpacing/>
        <w:jc w:val="both"/>
        <w:rPr>
          <w:rFonts w:ascii="Times New Roman" w:eastAsia="Times New Roman" w:hAnsi="Times New Roman" w:cs="Times New Roman"/>
          <w:bCs/>
          <w:sz w:val="24"/>
          <w:szCs w:val="24"/>
        </w:rPr>
      </w:pPr>
    </w:p>
    <w:p w:rsidR="00B429B6" w:rsidRPr="00B429B6" w:rsidRDefault="00B429B6" w:rsidP="00092BFC">
      <w:pPr>
        <w:overflowPunct w:val="0"/>
        <w:autoSpaceDE w:val="0"/>
        <w:autoSpaceDN w:val="0"/>
        <w:adjustRightInd w:val="0"/>
        <w:spacing w:before="120" w:after="120"/>
        <w:ind w:firstLine="709"/>
        <w:jc w:val="both"/>
        <w:textAlignment w:val="baseline"/>
        <w:rPr>
          <w:rFonts w:ascii="Times New Roman" w:hAnsi="Times New Roman" w:cs="Times New Roman"/>
          <w:sz w:val="24"/>
        </w:rPr>
      </w:pPr>
      <w:r w:rsidRPr="00B429B6">
        <w:rPr>
          <w:rFonts w:ascii="Times New Roman" w:eastAsia="Times New Roman" w:hAnsi="Times New Roman" w:cs="Times New Roman"/>
          <w:b/>
          <w:bCs/>
          <w:sz w:val="24"/>
          <w:szCs w:val="24"/>
        </w:rPr>
        <w:t xml:space="preserve">СЕКРЕТАР: </w:t>
      </w:r>
      <w:r w:rsidRPr="00B429B6">
        <w:rPr>
          <w:rFonts w:ascii="Times New Roman" w:hAnsi="Times New Roman" w:cs="Times New Roman"/>
          <w:sz w:val="24"/>
        </w:rPr>
        <w:t>Моника Петрова, младши експерт дирекция ЕР.</w:t>
      </w:r>
    </w:p>
    <w:p w:rsidR="00657269" w:rsidRPr="004121C6" w:rsidRDefault="004121C6" w:rsidP="00092BFC">
      <w:pPr>
        <w:ind w:firstLine="709"/>
        <w:jc w:val="both"/>
        <w:rPr>
          <w:rFonts w:ascii="Times New Roman" w:hAnsi="Times New Roman"/>
          <w:sz w:val="24"/>
          <w:szCs w:val="24"/>
        </w:rPr>
      </w:pPr>
      <w:r>
        <w:rPr>
          <w:rFonts w:ascii="Times New Roman" w:hAnsi="Times New Roman" w:cs="Times New Roman"/>
          <w:sz w:val="24"/>
          <w:szCs w:val="24"/>
        </w:rPr>
        <w:t xml:space="preserve">се събра </w:t>
      </w:r>
      <w:r w:rsidRPr="004121C6">
        <w:rPr>
          <w:rFonts w:ascii="Times New Roman" w:hAnsi="Times New Roman" w:cs="Times New Roman"/>
          <w:sz w:val="24"/>
          <w:szCs w:val="24"/>
        </w:rPr>
        <w:t>в пълен състав на поредното заседание във връзка с провеждането на процедура по реда на ЗОП с предмет</w:t>
      </w:r>
      <w:r>
        <w:rPr>
          <w:rFonts w:ascii="Times New Roman" w:hAnsi="Times New Roman" w:cs="Times New Roman"/>
          <w:sz w:val="24"/>
          <w:szCs w:val="24"/>
        </w:rPr>
        <w:t>:</w:t>
      </w:r>
      <w:r w:rsidR="00B429B6">
        <w:rPr>
          <w:rFonts w:ascii="Times New Roman" w:hAnsi="Times New Roman" w:cs="Times New Roman"/>
          <w:sz w:val="24"/>
          <w:szCs w:val="24"/>
        </w:rPr>
        <w:t xml:space="preserve"> </w:t>
      </w:r>
      <w:r w:rsidR="00B429B6" w:rsidRPr="00B429B6">
        <w:rPr>
          <w:rFonts w:ascii="Times New Roman" w:hAnsi="Times New Roman" w:cs="Times New Roman"/>
          <w:b/>
          <w:sz w:val="24"/>
          <w:szCs w:val="24"/>
          <w:lang w:val="en-US"/>
        </w:rPr>
        <w:t>„</w:t>
      </w:r>
      <w:proofErr w:type="spellStart"/>
      <w:r w:rsidR="00B429B6" w:rsidRPr="00B429B6">
        <w:rPr>
          <w:rFonts w:ascii="Times New Roman" w:hAnsi="Times New Roman" w:cs="Times New Roman"/>
          <w:b/>
          <w:sz w:val="24"/>
          <w:szCs w:val="24"/>
          <w:lang w:val="en-US"/>
        </w:rPr>
        <w:t>Дейности</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във</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връзка</w:t>
      </w:r>
      <w:proofErr w:type="spellEnd"/>
      <w:r w:rsidR="00B429B6" w:rsidRPr="00B429B6">
        <w:rPr>
          <w:rFonts w:ascii="Times New Roman" w:hAnsi="Times New Roman" w:cs="Times New Roman"/>
          <w:b/>
          <w:sz w:val="24"/>
          <w:szCs w:val="24"/>
          <w:lang w:val="en-US"/>
        </w:rPr>
        <w:t xml:space="preserve"> с </w:t>
      </w:r>
      <w:proofErr w:type="spellStart"/>
      <w:r w:rsidR="00B429B6" w:rsidRPr="00B429B6">
        <w:rPr>
          <w:rFonts w:ascii="Times New Roman" w:hAnsi="Times New Roman" w:cs="Times New Roman"/>
          <w:b/>
          <w:sz w:val="24"/>
          <w:szCs w:val="24"/>
          <w:lang w:val="en-US"/>
        </w:rPr>
        <w:t>подготовка</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на</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проектно</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предложение</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за</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финансиране</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изграждането</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на</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компостираща</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инсталация</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по</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Процедура</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за</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подбор</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на</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проекти</w:t>
      </w:r>
      <w:proofErr w:type="spellEnd"/>
      <w:r w:rsidR="00B429B6" w:rsidRPr="00B429B6">
        <w:rPr>
          <w:rFonts w:ascii="Times New Roman" w:hAnsi="Times New Roman" w:cs="Times New Roman"/>
          <w:b/>
          <w:sz w:val="24"/>
          <w:szCs w:val="24"/>
          <w:lang w:val="en-US"/>
        </w:rPr>
        <w:t xml:space="preserve"> BG16M10P002-2.001 </w:t>
      </w:r>
      <w:proofErr w:type="spellStart"/>
      <w:r w:rsidR="00B429B6" w:rsidRPr="00B429B6">
        <w:rPr>
          <w:rFonts w:ascii="Times New Roman" w:hAnsi="Times New Roman" w:cs="Times New Roman"/>
          <w:b/>
          <w:sz w:val="24"/>
          <w:szCs w:val="24"/>
          <w:lang w:val="en-US"/>
        </w:rPr>
        <w:t>по</w:t>
      </w:r>
      <w:proofErr w:type="spellEnd"/>
      <w:r w:rsidR="00B429B6" w:rsidRPr="00B429B6">
        <w:rPr>
          <w:rFonts w:ascii="Times New Roman" w:hAnsi="Times New Roman" w:cs="Times New Roman"/>
          <w:b/>
          <w:sz w:val="24"/>
          <w:szCs w:val="24"/>
          <w:lang w:val="en-US"/>
        </w:rPr>
        <w:t xml:space="preserve"> ОП „</w:t>
      </w:r>
      <w:proofErr w:type="spellStart"/>
      <w:r w:rsidR="00B429B6" w:rsidRPr="00B429B6">
        <w:rPr>
          <w:rFonts w:ascii="Times New Roman" w:hAnsi="Times New Roman" w:cs="Times New Roman"/>
          <w:b/>
          <w:sz w:val="24"/>
          <w:szCs w:val="24"/>
          <w:lang w:val="en-US"/>
        </w:rPr>
        <w:t>Околна</w:t>
      </w:r>
      <w:proofErr w:type="spellEnd"/>
      <w:r w:rsidR="00B429B6" w:rsidRPr="00B429B6">
        <w:rPr>
          <w:rFonts w:ascii="Times New Roman" w:hAnsi="Times New Roman" w:cs="Times New Roman"/>
          <w:b/>
          <w:sz w:val="24"/>
          <w:szCs w:val="24"/>
          <w:lang w:val="en-US"/>
        </w:rPr>
        <w:t xml:space="preserve"> </w:t>
      </w:r>
      <w:proofErr w:type="spellStart"/>
      <w:r w:rsidR="00B429B6" w:rsidRPr="00B429B6">
        <w:rPr>
          <w:rFonts w:ascii="Times New Roman" w:hAnsi="Times New Roman" w:cs="Times New Roman"/>
          <w:b/>
          <w:sz w:val="24"/>
          <w:szCs w:val="24"/>
          <w:lang w:val="en-US"/>
        </w:rPr>
        <w:t>среда</w:t>
      </w:r>
      <w:proofErr w:type="spellEnd"/>
      <w:r w:rsidR="00B429B6" w:rsidRPr="00B429B6">
        <w:rPr>
          <w:rFonts w:ascii="Times New Roman" w:hAnsi="Times New Roman" w:cs="Times New Roman"/>
          <w:b/>
          <w:sz w:val="24"/>
          <w:szCs w:val="24"/>
          <w:lang w:val="en-US"/>
        </w:rPr>
        <w:t xml:space="preserve"> 2014-2020“</w:t>
      </w:r>
      <w:r w:rsidR="00657269">
        <w:rPr>
          <w:rFonts w:ascii="Times New Roman" w:hAnsi="Times New Roman" w:cs="Times New Roman"/>
          <w:b/>
          <w:sz w:val="24"/>
          <w:szCs w:val="24"/>
        </w:rPr>
        <w:t>,</w:t>
      </w:r>
      <w:r w:rsidRPr="004121C6">
        <w:rPr>
          <w:rFonts w:ascii="Times New Roman" w:hAnsi="Times New Roman" w:cs="Times New Roman"/>
          <w:b/>
          <w:bCs/>
          <w:sz w:val="24"/>
          <w:szCs w:val="24"/>
        </w:rPr>
        <w:t>,</w:t>
      </w:r>
      <w:r w:rsidRPr="004121C6">
        <w:rPr>
          <w:rFonts w:ascii="Times New Roman" w:hAnsi="Times New Roman" w:cs="Times New Roman"/>
          <w:b/>
          <w:sz w:val="24"/>
          <w:szCs w:val="24"/>
          <w:lang w:val="en-US"/>
        </w:rPr>
        <w:t xml:space="preserve"> </w:t>
      </w:r>
      <w:r w:rsidRPr="004121C6">
        <w:rPr>
          <w:rFonts w:ascii="Times New Roman" w:hAnsi="Times New Roman" w:cs="Times New Roman"/>
          <w:sz w:val="24"/>
          <w:szCs w:val="24"/>
        </w:rPr>
        <w:t>с цел да провери за наличието на допълнително представени от участниците</w:t>
      </w:r>
      <w:r>
        <w:rPr>
          <w:rFonts w:ascii="Times New Roman" w:hAnsi="Times New Roman" w:cs="Times New Roman"/>
          <w:sz w:val="24"/>
          <w:szCs w:val="24"/>
        </w:rPr>
        <w:t xml:space="preserve"> </w:t>
      </w:r>
      <w:r w:rsidRPr="004121C6">
        <w:rPr>
          <w:rFonts w:ascii="Times New Roman" w:eastAsia="Times New Roman" w:hAnsi="Times New Roman" w:cs="Times New Roman"/>
          <w:b/>
          <w:sz w:val="24"/>
          <w:szCs w:val="24"/>
          <w:lang w:eastAsia="bg-BG"/>
        </w:rPr>
        <w:t xml:space="preserve">ОБЕДИНЕНИЕ РУСЕ КОМПОСТ </w:t>
      </w:r>
      <w:r w:rsidRPr="00436799">
        <w:rPr>
          <w:rFonts w:ascii="Times New Roman" w:eastAsia="Times New Roman" w:hAnsi="Times New Roman" w:cs="Times New Roman"/>
          <w:sz w:val="24"/>
          <w:szCs w:val="24"/>
          <w:lang w:eastAsia="bg-BG"/>
        </w:rPr>
        <w:t>и</w:t>
      </w:r>
      <w:r w:rsidRPr="004121C6">
        <w:rPr>
          <w:rFonts w:ascii="Times New Roman" w:eastAsia="Times New Roman" w:hAnsi="Times New Roman" w:cs="Times New Roman"/>
          <w:b/>
          <w:sz w:val="24"/>
          <w:szCs w:val="24"/>
          <w:lang w:eastAsia="bg-BG"/>
        </w:rPr>
        <w:t xml:space="preserve"> ОБЕДИНЕНИЕ ДЗЗД ЛОГИСТИКА РУСЕ</w:t>
      </w:r>
      <w:r w:rsidRPr="00436799">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документи</w:t>
      </w:r>
      <w:r w:rsidR="00265DA6">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w:t>
      </w:r>
      <w:r w:rsidR="00265DA6" w:rsidRPr="00265DA6">
        <w:rPr>
          <w:rFonts w:ascii="Times New Roman" w:eastAsia="Times New Roman" w:hAnsi="Times New Roman" w:cs="Times New Roman"/>
          <w:sz w:val="24"/>
          <w:szCs w:val="24"/>
          <w:lang w:eastAsia="bg-BG"/>
        </w:rPr>
        <w:t xml:space="preserve">свързани с изискванията за подбор и изискани от  комисията на основание </w:t>
      </w:r>
      <w:r w:rsidR="00265DA6" w:rsidRPr="00265DA6">
        <w:rPr>
          <w:rFonts w:ascii="Times New Roman" w:eastAsia="Times New Roman" w:hAnsi="Times New Roman" w:cs="Times New Roman"/>
          <w:b/>
          <w:sz w:val="24"/>
          <w:szCs w:val="24"/>
          <w:lang w:eastAsia="bg-BG"/>
        </w:rPr>
        <w:t>чл. 68, ал. 8  от ЗОП.</w:t>
      </w:r>
    </w:p>
    <w:p w:rsidR="00436799" w:rsidRPr="00436799" w:rsidRDefault="00436799" w:rsidP="00092BFC">
      <w:pPr>
        <w:ind w:firstLine="709"/>
        <w:jc w:val="both"/>
        <w:rPr>
          <w:rFonts w:ascii="Times New Roman" w:eastAsia="Calibri" w:hAnsi="Times New Roman" w:cs="Times New Roman"/>
          <w:sz w:val="24"/>
          <w:szCs w:val="24"/>
        </w:rPr>
      </w:pPr>
      <w:r w:rsidRPr="00436799">
        <w:rPr>
          <w:rFonts w:ascii="Times New Roman" w:eastAsia="Calibri" w:hAnsi="Times New Roman" w:cs="Times New Roman"/>
          <w:sz w:val="24"/>
          <w:szCs w:val="24"/>
        </w:rPr>
        <w:t xml:space="preserve">В указания срок съгласно </w:t>
      </w:r>
      <w:r w:rsidRPr="00436799">
        <w:rPr>
          <w:rFonts w:ascii="Times New Roman" w:eastAsia="Calibri" w:hAnsi="Times New Roman" w:cs="Times New Roman"/>
          <w:b/>
          <w:sz w:val="24"/>
          <w:szCs w:val="24"/>
        </w:rPr>
        <w:t>чл. 68, ал. 9 от ЗОП</w:t>
      </w:r>
      <w:r w:rsidRPr="00436799">
        <w:rPr>
          <w:rFonts w:ascii="Times New Roman" w:eastAsia="Calibri" w:hAnsi="Times New Roman" w:cs="Times New Roman"/>
          <w:sz w:val="24"/>
          <w:szCs w:val="24"/>
        </w:rPr>
        <w:t xml:space="preserve"> участник </w:t>
      </w:r>
      <w:r w:rsidRPr="004121C6">
        <w:rPr>
          <w:rFonts w:ascii="Times New Roman" w:eastAsia="Times New Roman" w:hAnsi="Times New Roman" w:cs="Times New Roman"/>
          <w:b/>
          <w:sz w:val="24"/>
          <w:szCs w:val="24"/>
          <w:lang w:eastAsia="bg-BG"/>
        </w:rPr>
        <w:t>ОБЕДИНЕНИЕ РУСЕ КОМПОСТ</w:t>
      </w:r>
      <w:r w:rsidRPr="00436799">
        <w:rPr>
          <w:rFonts w:ascii="Times New Roman" w:eastAsia="Calibri" w:hAnsi="Times New Roman" w:cs="Times New Roman"/>
          <w:sz w:val="24"/>
          <w:szCs w:val="24"/>
        </w:rPr>
        <w:t xml:space="preserve"> </w:t>
      </w:r>
      <w:proofErr w:type="spellStart"/>
      <w:r w:rsidRPr="00436799">
        <w:rPr>
          <w:rFonts w:ascii="Times New Roman" w:eastAsia="Calibri" w:hAnsi="Times New Roman" w:cs="Times New Roman"/>
          <w:sz w:val="24"/>
          <w:szCs w:val="24"/>
        </w:rPr>
        <w:t>входира</w:t>
      </w:r>
      <w:proofErr w:type="spellEnd"/>
      <w:r w:rsidRPr="00436799">
        <w:rPr>
          <w:rFonts w:ascii="Times New Roman" w:eastAsia="Calibri" w:hAnsi="Times New Roman" w:cs="Times New Roman"/>
          <w:sz w:val="24"/>
          <w:szCs w:val="24"/>
        </w:rPr>
        <w:t xml:space="preserve"> документи с вх. №30-</w:t>
      </w:r>
      <w:r>
        <w:rPr>
          <w:rFonts w:ascii="Times New Roman" w:eastAsia="Calibri" w:hAnsi="Times New Roman" w:cs="Times New Roman"/>
          <w:sz w:val="24"/>
          <w:szCs w:val="24"/>
          <w:lang w:val="en-US"/>
        </w:rPr>
        <w:t>7859</w:t>
      </w:r>
      <w:r w:rsidRPr="00436799">
        <w:rPr>
          <w:rFonts w:ascii="Times New Roman" w:eastAsia="Calibri" w:hAnsi="Times New Roman" w:cs="Times New Roman"/>
          <w:sz w:val="24"/>
          <w:szCs w:val="24"/>
        </w:rPr>
        <w:t xml:space="preserve">-1#1 от дата </w:t>
      </w:r>
      <w:r>
        <w:rPr>
          <w:rFonts w:ascii="Times New Roman" w:eastAsia="Calibri" w:hAnsi="Times New Roman" w:cs="Times New Roman"/>
          <w:sz w:val="24"/>
          <w:szCs w:val="24"/>
        </w:rPr>
        <w:t>25.05.2016</w:t>
      </w:r>
      <w:r w:rsidRPr="00436799">
        <w:rPr>
          <w:rFonts w:ascii="Times New Roman" w:eastAsia="Calibri" w:hAnsi="Times New Roman" w:cs="Times New Roman"/>
          <w:sz w:val="24"/>
          <w:szCs w:val="24"/>
        </w:rPr>
        <w:t xml:space="preserve"> г. и участник </w:t>
      </w:r>
      <w:r w:rsidRPr="004121C6">
        <w:rPr>
          <w:rFonts w:ascii="Times New Roman" w:eastAsia="Times New Roman" w:hAnsi="Times New Roman" w:cs="Times New Roman"/>
          <w:b/>
          <w:sz w:val="24"/>
          <w:szCs w:val="24"/>
          <w:lang w:eastAsia="bg-BG"/>
        </w:rPr>
        <w:t>ОБЕДИНЕНИЕ ДЗЗД ЛОГИСТИКА РУСЕ</w:t>
      </w:r>
      <w:r w:rsidRPr="00436799">
        <w:rPr>
          <w:rFonts w:ascii="Times New Roman" w:eastAsia="Calibri" w:hAnsi="Times New Roman" w:cs="Times New Roman"/>
          <w:b/>
          <w:sz w:val="24"/>
          <w:szCs w:val="24"/>
        </w:rPr>
        <w:t xml:space="preserve"> </w:t>
      </w:r>
      <w:proofErr w:type="spellStart"/>
      <w:r w:rsidRPr="00436799">
        <w:rPr>
          <w:rFonts w:ascii="Times New Roman" w:eastAsia="Calibri" w:hAnsi="Times New Roman" w:cs="Times New Roman"/>
          <w:sz w:val="24"/>
          <w:szCs w:val="24"/>
        </w:rPr>
        <w:t>входира</w:t>
      </w:r>
      <w:proofErr w:type="spellEnd"/>
      <w:r w:rsidRPr="00436799">
        <w:rPr>
          <w:rFonts w:ascii="Times New Roman" w:eastAsia="Calibri" w:hAnsi="Times New Roman" w:cs="Times New Roman"/>
          <w:sz w:val="24"/>
          <w:szCs w:val="24"/>
        </w:rPr>
        <w:t xml:space="preserve"> документи с вх. №30-</w:t>
      </w:r>
      <w:r>
        <w:rPr>
          <w:rFonts w:ascii="Times New Roman" w:eastAsia="Calibri" w:hAnsi="Times New Roman" w:cs="Times New Roman"/>
          <w:sz w:val="24"/>
          <w:szCs w:val="24"/>
          <w:lang w:val="en-US"/>
        </w:rPr>
        <w:t>7859</w:t>
      </w:r>
      <w:r w:rsidRPr="00436799">
        <w:rPr>
          <w:rFonts w:ascii="Times New Roman" w:eastAsia="Calibri" w:hAnsi="Times New Roman" w:cs="Times New Roman"/>
          <w:sz w:val="24"/>
          <w:szCs w:val="24"/>
        </w:rPr>
        <w:t xml:space="preserve">-1#2 от дата </w:t>
      </w:r>
      <w:r>
        <w:rPr>
          <w:rFonts w:ascii="Times New Roman" w:eastAsia="Calibri" w:hAnsi="Times New Roman" w:cs="Times New Roman"/>
          <w:sz w:val="24"/>
          <w:szCs w:val="24"/>
          <w:lang w:val="en-US"/>
        </w:rPr>
        <w:t>27.05.2016</w:t>
      </w:r>
      <w:r w:rsidRPr="00436799">
        <w:rPr>
          <w:rFonts w:ascii="Times New Roman" w:eastAsia="Calibri" w:hAnsi="Times New Roman" w:cs="Times New Roman"/>
          <w:sz w:val="24"/>
          <w:szCs w:val="24"/>
        </w:rPr>
        <w:t xml:space="preserve"> г.</w:t>
      </w:r>
    </w:p>
    <w:p w:rsidR="00657269" w:rsidRPr="00C11EC3" w:rsidRDefault="00436799" w:rsidP="00092BFC">
      <w:pPr>
        <w:ind w:firstLine="709"/>
        <w:jc w:val="both"/>
        <w:rPr>
          <w:rFonts w:ascii="Times New Roman" w:eastAsia="Calibri" w:hAnsi="Times New Roman" w:cs="Times New Roman"/>
          <w:sz w:val="24"/>
          <w:szCs w:val="24"/>
        </w:rPr>
      </w:pPr>
      <w:r>
        <w:rPr>
          <w:rFonts w:ascii="Times New Roman" w:eastAsia="Times New Roman" w:hAnsi="Times New Roman" w:cs="Times New Roman"/>
          <w:b/>
          <w:kern w:val="1"/>
          <w:sz w:val="24"/>
          <w:szCs w:val="24"/>
          <w:u w:val="single"/>
          <w:lang w:eastAsia="ar-SA"/>
        </w:rPr>
        <w:t>Констатации</w:t>
      </w:r>
      <w:r w:rsidRPr="00D6721C">
        <w:rPr>
          <w:rFonts w:ascii="Times New Roman" w:eastAsia="Times New Roman" w:hAnsi="Times New Roman" w:cs="Times New Roman"/>
          <w:b/>
          <w:kern w:val="1"/>
          <w:sz w:val="24"/>
          <w:szCs w:val="24"/>
          <w:u w:val="single"/>
          <w:lang w:eastAsia="ar-SA"/>
        </w:rPr>
        <w:t xml:space="preserve"> на Комисията </w:t>
      </w:r>
      <w:r>
        <w:rPr>
          <w:rFonts w:ascii="Times New Roman" w:eastAsia="Times New Roman" w:hAnsi="Times New Roman" w:cs="Times New Roman"/>
          <w:b/>
          <w:kern w:val="1"/>
          <w:sz w:val="24"/>
          <w:szCs w:val="24"/>
          <w:u w:val="single"/>
          <w:lang w:eastAsia="ar-SA"/>
        </w:rPr>
        <w:t>във връзка с представените допълнителни документи от участници</w:t>
      </w:r>
      <w:r w:rsidRPr="00D6721C">
        <w:rPr>
          <w:rFonts w:ascii="Times New Roman" w:eastAsia="Times New Roman" w:hAnsi="Times New Roman" w:cs="Times New Roman"/>
          <w:b/>
          <w:kern w:val="1"/>
          <w:sz w:val="24"/>
          <w:szCs w:val="24"/>
          <w:u w:val="single"/>
          <w:lang w:eastAsia="ar-SA"/>
        </w:rPr>
        <w:t>:</w:t>
      </w:r>
    </w:p>
    <w:p w:rsidR="00436799" w:rsidRPr="00436799" w:rsidRDefault="00436799" w:rsidP="00092BFC">
      <w:pPr>
        <w:spacing w:before="120" w:after="120"/>
        <w:ind w:firstLine="709"/>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lastRenderedPageBreak/>
        <w:t xml:space="preserve">Представените от участниците </w:t>
      </w:r>
      <w:r w:rsidRPr="004121C6">
        <w:rPr>
          <w:rFonts w:ascii="Times New Roman" w:eastAsia="Times New Roman" w:hAnsi="Times New Roman" w:cs="Times New Roman"/>
          <w:b/>
          <w:sz w:val="24"/>
          <w:szCs w:val="24"/>
          <w:lang w:eastAsia="bg-BG"/>
        </w:rPr>
        <w:t xml:space="preserve">ОБЕДИНЕНИЕ РУСЕ КОМПОСТ </w:t>
      </w:r>
      <w:r w:rsidRPr="00436799">
        <w:rPr>
          <w:rFonts w:ascii="Times New Roman" w:eastAsia="Times New Roman" w:hAnsi="Times New Roman" w:cs="Times New Roman"/>
          <w:sz w:val="24"/>
          <w:szCs w:val="24"/>
          <w:lang w:eastAsia="bg-BG"/>
        </w:rPr>
        <w:t>и</w:t>
      </w:r>
      <w:r w:rsidRPr="004121C6">
        <w:rPr>
          <w:rFonts w:ascii="Times New Roman" w:eastAsia="Times New Roman" w:hAnsi="Times New Roman" w:cs="Times New Roman"/>
          <w:b/>
          <w:sz w:val="24"/>
          <w:szCs w:val="24"/>
          <w:lang w:eastAsia="bg-BG"/>
        </w:rPr>
        <w:t xml:space="preserve"> ОБЕДИНЕНИЕ ДЗЗД ЛОГИСТИКА РУСЕ</w:t>
      </w:r>
      <w:r>
        <w:rPr>
          <w:rFonts w:ascii="Times New Roman" w:eastAsia="Times New Roman" w:hAnsi="Times New Roman" w:cs="Times New Roman"/>
          <w:b/>
          <w:sz w:val="24"/>
          <w:szCs w:val="24"/>
          <w:lang w:eastAsia="bg-BG"/>
        </w:rPr>
        <w:t xml:space="preserve"> </w:t>
      </w:r>
      <w:r w:rsidRPr="00436799">
        <w:rPr>
          <w:rFonts w:ascii="Times New Roman" w:eastAsia="Times New Roman" w:hAnsi="Times New Roman" w:cs="Times New Roman"/>
          <w:sz w:val="24"/>
          <w:szCs w:val="24"/>
          <w:lang w:eastAsia="bg-BG"/>
        </w:rPr>
        <w:t xml:space="preserve">допълнителни документи са в съответствие с обявените от Възложителя условия и изискванията на ЗОП. Участниците </w:t>
      </w:r>
      <w:r w:rsidRPr="005B71C3">
        <w:rPr>
          <w:rFonts w:ascii="Times New Roman" w:eastAsia="Times New Roman" w:hAnsi="Times New Roman" w:cs="Times New Roman"/>
          <w:b/>
          <w:sz w:val="24"/>
          <w:szCs w:val="24"/>
          <w:lang w:eastAsia="bg-BG"/>
        </w:rPr>
        <w:t>се допускат</w:t>
      </w:r>
      <w:r w:rsidRPr="00436799">
        <w:rPr>
          <w:rFonts w:ascii="Times New Roman" w:eastAsia="Times New Roman" w:hAnsi="Times New Roman" w:cs="Times New Roman"/>
          <w:sz w:val="24"/>
          <w:szCs w:val="24"/>
          <w:lang w:eastAsia="bg-BG"/>
        </w:rPr>
        <w:t xml:space="preserve"> до последващо разглеждане и оценка  на офертите.</w:t>
      </w:r>
    </w:p>
    <w:p w:rsidR="005B71C3" w:rsidRDefault="005B71C3" w:rsidP="00092BFC">
      <w:pPr>
        <w:tabs>
          <w:tab w:val="left" w:pos="993"/>
        </w:tabs>
        <w:suppressAutoHyphens/>
        <w:spacing w:after="0"/>
        <w:ind w:firstLine="709"/>
        <w:jc w:val="both"/>
        <w:rPr>
          <w:rFonts w:ascii="Times New Roman" w:hAnsi="Times New Roman" w:cs="Times New Roman"/>
          <w:sz w:val="24"/>
          <w:szCs w:val="24"/>
        </w:rPr>
      </w:pPr>
      <w:r w:rsidRPr="00D6721C">
        <w:rPr>
          <w:rFonts w:ascii="Times New Roman" w:eastAsia="Times New Roman" w:hAnsi="Times New Roman" w:cs="Times New Roman"/>
          <w:kern w:val="1"/>
          <w:sz w:val="24"/>
          <w:szCs w:val="24"/>
          <w:lang w:eastAsia="ar-SA"/>
        </w:rPr>
        <w:t xml:space="preserve">Работата на комисията продължи </w:t>
      </w:r>
      <w:r>
        <w:rPr>
          <w:rFonts w:ascii="Times New Roman" w:eastAsia="Times New Roman" w:hAnsi="Times New Roman" w:cs="Times New Roman"/>
          <w:kern w:val="1"/>
          <w:sz w:val="24"/>
          <w:szCs w:val="24"/>
          <w:lang w:eastAsia="ar-SA"/>
        </w:rPr>
        <w:t xml:space="preserve">с </w:t>
      </w:r>
      <w:r w:rsidRPr="00D6721C">
        <w:rPr>
          <w:rFonts w:ascii="Times New Roman" w:eastAsia="Times New Roman" w:hAnsi="Times New Roman" w:cs="Times New Roman"/>
          <w:kern w:val="1"/>
          <w:sz w:val="24"/>
          <w:szCs w:val="24"/>
          <w:lang w:eastAsia="ar-SA"/>
        </w:rPr>
        <w:t xml:space="preserve">разглеждане на документите в </w:t>
      </w:r>
      <w:r w:rsidRPr="00D6721C">
        <w:rPr>
          <w:rFonts w:ascii="Times New Roman" w:eastAsia="Times New Roman" w:hAnsi="Times New Roman" w:cs="Times New Roman"/>
          <w:b/>
          <w:kern w:val="1"/>
          <w:sz w:val="24"/>
          <w:szCs w:val="24"/>
          <w:lang w:eastAsia="ar-SA"/>
        </w:rPr>
        <w:t xml:space="preserve">Плик №2 </w:t>
      </w:r>
      <w:r w:rsidRPr="005B71C3">
        <w:rPr>
          <w:rFonts w:ascii="Times New Roman" w:eastAsia="Times New Roman" w:hAnsi="Times New Roman" w:cs="Times New Roman"/>
          <w:b/>
          <w:kern w:val="1"/>
          <w:sz w:val="24"/>
          <w:szCs w:val="24"/>
          <w:lang w:eastAsia="ar-SA"/>
        </w:rPr>
        <w:t>Предложение за изпълнение на поръчката</w:t>
      </w:r>
      <w:r w:rsidRPr="00D6721C">
        <w:rPr>
          <w:rFonts w:ascii="Times New Roman" w:eastAsia="Times New Roman" w:hAnsi="Times New Roman" w:cs="Times New Roman"/>
          <w:kern w:val="1"/>
          <w:sz w:val="24"/>
          <w:szCs w:val="24"/>
          <w:lang w:eastAsia="ar-SA"/>
        </w:rPr>
        <w:t xml:space="preserve"> </w:t>
      </w:r>
      <w:r w:rsidR="00E229D4" w:rsidRPr="00E229D4">
        <w:rPr>
          <w:rFonts w:ascii="Times New Roman" w:eastAsia="Times New Roman" w:hAnsi="Times New Roman" w:cs="Times New Roman"/>
          <w:bCs/>
          <w:kern w:val="1"/>
          <w:sz w:val="24"/>
          <w:szCs w:val="24"/>
          <w:lang w:eastAsia="ar-SA"/>
        </w:rPr>
        <w:t>с цел да се направи оценка на техническите предложения на участниците, допуснати до този етап.</w:t>
      </w:r>
    </w:p>
    <w:p w:rsidR="00E229D4" w:rsidRPr="00E229D4" w:rsidRDefault="00E229D4" w:rsidP="00092BFC">
      <w:pPr>
        <w:tabs>
          <w:tab w:val="left" w:pos="993"/>
        </w:tabs>
        <w:suppressAutoHyphens/>
        <w:spacing w:after="0"/>
        <w:ind w:firstLine="709"/>
        <w:jc w:val="both"/>
        <w:rPr>
          <w:rFonts w:ascii="Times New Roman" w:hAnsi="Times New Roman" w:cs="Times New Roman"/>
          <w:b/>
          <w:sz w:val="24"/>
          <w:szCs w:val="24"/>
        </w:rPr>
      </w:pPr>
      <w:r w:rsidRPr="00E229D4">
        <w:rPr>
          <w:rFonts w:ascii="Times New Roman" w:hAnsi="Times New Roman" w:cs="Times New Roman"/>
          <w:sz w:val="24"/>
          <w:szCs w:val="24"/>
        </w:rPr>
        <w:t xml:space="preserve">Критерият за оценка на постъпилите оферти е </w:t>
      </w:r>
      <w:r w:rsidRPr="00E229D4">
        <w:rPr>
          <w:rFonts w:ascii="Times New Roman" w:hAnsi="Times New Roman" w:cs="Times New Roman"/>
          <w:b/>
          <w:sz w:val="24"/>
          <w:szCs w:val="24"/>
        </w:rPr>
        <w:t xml:space="preserve">„икономически най-изгодна оферта“. </w:t>
      </w:r>
    </w:p>
    <w:p w:rsidR="00E229D4" w:rsidRPr="00E229D4" w:rsidRDefault="00E229D4" w:rsidP="00092BFC">
      <w:pPr>
        <w:tabs>
          <w:tab w:val="left" w:pos="993"/>
        </w:tabs>
        <w:suppressAutoHyphens/>
        <w:spacing w:after="0"/>
        <w:ind w:firstLine="709"/>
        <w:jc w:val="both"/>
        <w:rPr>
          <w:rFonts w:ascii="Times New Roman" w:hAnsi="Times New Roman" w:cs="Times New Roman"/>
          <w:sz w:val="24"/>
          <w:szCs w:val="24"/>
        </w:rPr>
      </w:pPr>
      <w:r w:rsidRPr="00E229D4">
        <w:rPr>
          <w:rFonts w:ascii="Times New Roman" w:hAnsi="Times New Roman" w:cs="Times New Roman"/>
          <w:sz w:val="24"/>
          <w:szCs w:val="24"/>
        </w:rPr>
        <w:t xml:space="preserve">Оценяването на офертите, допуснати до оценка по технически показатели, по отношение качеството на техническото предложение е съобразно предварително одобрената Методика, съдържаща точни указания за определяне на оценката по всеки показател и за определяне на комплексната оценка на офертата. </w:t>
      </w:r>
    </w:p>
    <w:p w:rsidR="00180798" w:rsidRDefault="00180798" w:rsidP="00092BFC">
      <w:pPr>
        <w:tabs>
          <w:tab w:val="left" w:pos="993"/>
        </w:tabs>
        <w:suppressAutoHyphens/>
        <w:spacing w:after="0"/>
        <w:ind w:firstLine="709"/>
        <w:jc w:val="both"/>
        <w:rPr>
          <w:rFonts w:ascii="Times New Roman" w:hAnsi="Times New Roman" w:cs="Times New Roman"/>
          <w:sz w:val="24"/>
          <w:szCs w:val="24"/>
        </w:rPr>
      </w:pPr>
    </w:p>
    <w:p w:rsidR="00180798" w:rsidRPr="00D57265" w:rsidRDefault="00F228F8" w:rsidP="00D57265">
      <w:pPr>
        <w:tabs>
          <w:tab w:val="left" w:pos="993"/>
        </w:tabs>
        <w:suppressAutoHyphens/>
        <w:spacing w:before="120" w:after="120"/>
        <w:ind w:firstLine="709"/>
        <w:jc w:val="center"/>
        <w:rPr>
          <w:rFonts w:ascii="Times New Roman" w:eastAsia="Calibri" w:hAnsi="Times New Roman" w:cs="Times New Roman"/>
          <w:b/>
          <w:sz w:val="24"/>
          <w:szCs w:val="24"/>
          <w:u w:val="single"/>
        </w:rPr>
      </w:pPr>
      <w:r w:rsidRPr="00F228F8">
        <w:rPr>
          <w:rFonts w:ascii="Times New Roman" w:eastAsia="Calibri" w:hAnsi="Times New Roman" w:cs="Times New Roman"/>
          <w:b/>
          <w:sz w:val="24"/>
          <w:szCs w:val="24"/>
          <w:u w:val="single"/>
        </w:rPr>
        <w:t>Описание на техническите предложения на допуснатите участници. Оценки и мотиви за поставените оценки.</w:t>
      </w:r>
    </w:p>
    <w:p w:rsidR="00B25948" w:rsidRDefault="00092BFC" w:rsidP="00092BFC">
      <w:pPr>
        <w:spacing w:after="160"/>
        <w:jc w:val="both"/>
        <w:rPr>
          <w:rFonts w:ascii="Times New Roman" w:eastAsia="Times New Roman" w:hAnsi="Times New Roman" w:cs="Times New Roman"/>
          <w:b/>
          <w:sz w:val="24"/>
          <w:szCs w:val="24"/>
        </w:rPr>
      </w:pPr>
      <w:r w:rsidRPr="00FC4DE7">
        <w:rPr>
          <w:rFonts w:ascii="Times New Roman" w:eastAsia="Times New Roman" w:hAnsi="Times New Roman" w:cs="Times New Roman"/>
          <w:b/>
          <w:sz w:val="24"/>
          <w:szCs w:val="24"/>
        </w:rPr>
        <w:t>Участник</w:t>
      </w:r>
      <w:r w:rsidR="00A14F77">
        <w:rPr>
          <w:rFonts w:ascii="Times New Roman" w:eastAsia="Times New Roman" w:hAnsi="Times New Roman" w:cs="Times New Roman"/>
          <w:b/>
          <w:sz w:val="24"/>
          <w:szCs w:val="24"/>
        </w:rPr>
        <w:t>:</w:t>
      </w:r>
      <w:r w:rsidR="00D02819" w:rsidRPr="00FC4DE7">
        <w:rPr>
          <w:rFonts w:ascii="Times New Roman" w:eastAsia="Times New Roman" w:hAnsi="Times New Roman" w:cs="Times New Roman"/>
          <w:b/>
          <w:sz w:val="24"/>
          <w:szCs w:val="24"/>
        </w:rPr>
        <w:t xml:space="preserve"> </w:t>
      </w:r>
      <w:r w:rsidRPr="00FC4DE7">
        <w:rPr>
          <w:rFonts w:ascii="Times New Roman" w:eastAsia="Times New Roman" w:hAnsi="Times New Roman" w:cs="Times New Roman"/>
          <w:b/>
          <w:sz w:val="24"/>
          <w:szCs w:val="24"/>
          <w:lang w:eastAsia="bg-BG"/>
        </w:rPr>
        <w:t>ОБЕДИНЕНИЕ РУСЕ КОМПОСТ</w:t>
      </w:r>
    </w:p>
    <w:p w:rsidR="00B25948" w:rsidRDefault="00B25948" w:rsidP="00FD66B5">
      <w:pPr>
        <w:spacing w:after="16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Участникът е представил Декларация по чл.33 ал. 4 от ЗОП</w:t>
      </w:r>
      <w:r w:rsidR="00FD66B5">
        <w:rPr>
          <w:rFonts w:ascii="Times New Roman" w:eastAsia="Times New Roman" w:hAnsi="Times New Roman" w:cs="Times New Roman"/>
          <w:b/>
          <w:sz w:val="24"/>
          <w:szCs w:val="24"/>
        </w:rPr>
        <w:t xml:space="preserve"> (отм.)</w:t>
      </w:r>
      <w:r>
        <w:rPr>
          <w:rFonts w:ascii="Times New Roman" w:eastAsia="Times New Roman" w:hAnsi="Times New Roman" w:cs="Times New Roman"/>
          <w:b/>
          <w:sz w:val="24"/>
          <w:szCs w:val="24"/>
        </w:rPr>
        <w:t>, в която декларира, че информацията, съдържаща се в част „Обяснителна записка“ от Техническото му предложение, следва да се счита за конфиденциална</w:t>
      </w:r>
      <w:r w:rsidR="003E26DC">
        <w:rPr>
          <w:rFonts w:ascii="Times New Roman" w:eastAsia="Times New Roman" w:hAnsi="Times New Roman" w:cs="Times New Roman"/>
          <w:b/>
          <w:sz w:val="24"/>
          <w:szCs w:val="24"/>
        </w:rPr>
        <w:t xml:space="preserve">, тъй като съдържа търговски тайни. Участникът не желае посочената информация да бъде разкривана от Възложителя, </w:t>
      </w:r>
      <w:r w:rsidR="00FD66B5">
        <w:rPr>
          <w:rFonts w:ascii="Times New Roman" w:eastAsia="Times New Roman" w:hAnsi="Times New Roman" w:cs="Times New Roman"/>
          <w:b/>
          <w:sz w:val="24"/>
          <w:szCs w:val="24"/>
        </w:rPr>
        <w:t xml:space="preserve">освен в предвидените от Закона случаи. </w:t>
      </w:r>
    </w:p>
    <w:p w:rsidR="00B25948" w:rsidRDefault="00FD66B5" w:rsidP="00FD66B5">
      <w:pPr>
        <w:spacing w:after="16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Член 33 ал.4 и ал.5 е неприложим по отношение на техническите параметри, които подлежат на оценки. Във връзка, с което комисията реши от техническото предложение на участника да бъде заличена само тази информация, която носи характера на иновативност, ноу-хау, новаторско решение за изпълнение или метод за изпълнение. </w:t>
      </w:r>
    </w:p>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b/>
          <w:sz w:val="24"/>
          <w:szCs w:val="24"/>
        </w:rPr>
        <w:t>Кратко описание на техническото предложение:</w:t>
      </w:r>
      <w:r w:rsidRPr="00D02819">
        <w:rPr>
          <w:rFonts w:ascii="Times New Roman" w:eastAsia="Times New Roman" w:hAnsi="Times New Roman" w:cs="Times New Roman"/>
          <w:sz w:val="24"/>
          <w:szCs w:val="24"/>
          <w:lang w:val="en-US"/>
        </w:rPr>
        <w:t xml:space="preserve"> </w:t>
      </w:r>
      <w:r w:rsidRPr="00D02819">
        <w:rPr>
          <w:rFonts w:ascii="Times New Roman" w:eastAsia="Times New Roman" w:hAnsi="Times New Roman" w:cs="Times New Roman"/>
          <w:sz w:val="24"/>
          <w:szCs w:val="24"/>
        </w:rPr>
        <w:t>Този участник е направил техническо предложение в рамките на 140 страници. Предложението съдържа задължителните елементи Обяснителна записка и Организация на работата. Участникът е декларирал, че в част „Обяснителна записка“ се съдържат търговски тайни.</w:t>
      </w:r>
    </w:p>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В началото на техническото предложение под формата на въведение е направено описание на предмета на поръчката и са представени членовете на обединението участник. Обяснителната записка включва двата задължителни елемента А.</w:t>
      </w:r>
      <w:r w:rsidRPr="00D02819">
        <w:rPr>
          <w:rFonts w:ascii="Times New Roman" w:eastAsia="Calibri" w:hAnsi="Times New Roman" w:cs="Times New Roman"/>
          <w:sz w:val="24"/>
          <w:szCs w:val="24"/>
        </w:rPr>
        <w:t xml:space="preserve"> </w:t>
      </w:r>
      <w:r w:rsidRPr="00D02819">
        <w:rPr>
          <w:rFonts w:ascii="Times New Roman" w:eastAsia="Times New Roman" w:hAnsi="Times New Roman" w:cs="Times New Roman"/>
          <w:sz w:val="24"/>
          <w:szCs w:val="24"/>
        </w:rPr>
        <w:t>Списък и предложение за действия, необходими за постигане целите на договора и на изискванията на техническата спецификация и Б. Предложение относно управление на договора, включително процедури за контрол с цел качественото и навременно изпълнение на поръчката.</w:t>
      </w:r>
    </w:p>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 xml:space="preserve">В Списък и предложение за действия, необходими за постигане целите на договора и изискванията на Техническата спецификация участникът е описал дейностите. Всяка от </w:t>
      </w:r>
      <w:r w:rsidRPr="00D02819">
        <w:rPr>
          <w:rFonts w:ascii="Times New Roman" w:eastAsia="Times New Roman" w:hAnsi="Times New Roman" w:cs="Times New Roman"/>
          <w:sz w:val="24"/>
          <w:szCs w:val="24"/>
        </w:rPr>
        <w:lastRenderedPageBreak/>
        <w:t xml:space="preserve">дейностите е представена по отношение на: Обяснение на дейността и действия на Изпълнителя за осигуряване на съответствие с изискванията на Възложителя към изпълнението на всяка от дейностите; </w:t>
      </w:r>
      <w:proofErr w:type="spellStart"/>
      <w:r w:rsidRPr="00D02819">
        <w:rPr>
          <w:rFonts w:ascii="Times New Roman" w:eastAsia="Times New Roman" w:hAnsi="Times New Roman" w:cs="Times New Roman"/>
          <w:sz w:val="24"/>
          <w:szCs w:val="24"/>
        </w:rPr>
        <w:t>Поддейности</w:t>
      </w:r>
      <w:proofErr w:type="spellEnd"/>
      <w:r w:rsidRPr="00D02819">
        <w:rPr>
          <w:rFonts w:ascii="Times New Roman" w:eastAsia="Times New Roman" w:hAnsi="Times New Roman" w:cs="Times New Roman"/>
          <w:sz w:val="24"/>
          <w:szCs w:val="24"/>
        </w:rPr>
        <w:t xml:space="preserve">, гарантиращи качествено изпълнение на дейността и постигане целите на Възложителя; Допълнителни </w:t>
      </w:r>
      <w:proofErr w:type="spellStart"/>
      <w:r w:rsidRPr="00D02819">
        <w:rPr>
          <w:rFonts w:ascii="Times New Roman" w:eastAsia="Times New Roman" w:hAnsi="Times New Roman" w:cs="Times New Roman"/>
          <w:sz w:val="24"/>
          <w:szCs w:val="24"/>
        </w:rPr>
        <w:t>поддейности</w:t>
      </w:r>
      <w:proofErr w:type="spellEnd"/>
      <w:r w:rsidRPr="00D02819">
        <w:rPr>
          <w:rFonts w:ascii="Times New Roman" w:eastAsia="Times New Roman" w:hAnsi="Times New Roman" w:cs="Times New Roman"/>
          <w:sz w:val="24"/>
          <w:szCs w:val="24"/>
        </w:rPr>
        <w:t>, които ще гарантират качествено изпълнение и постигане целите на Възложителя.</w:t>
      </w:r>
    </w:p>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Вторият задължителен елемент на Обяснителната записка Предложение относно управление на договора, включително процедури за контрол с цел качественото и навременно изпълнение на поръчката, включва три точки – Управление изпълнението на договора – общ подход; Дейности за упражняване на вътрешен контрол, както и Мерки за осигуряване постигането на очакваните резултати от всяка дейност.</w:t>
      </w:r>
    </w:p>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В частта Организация на работата участникът е описал задължителния елемент Предложение относно предвидената организация за изпълнение на работата, мобилизация и разпределение на предвидените ресурси. В описанието са включени Предложение за разпределение на задачите и отговорностите между експертите на участника, както и предложение относно организация и разпределение на останалите ресурси във връзка с изпълнение на предвидените в рамките на договора дейности. Като част от организацията на работата участникът е представил и механизъм за взаимодействие в екипа и със заинтересованите страни и Възложителя.</w:t>
      </w:r>
    </w:p>
    <w:p w:rsidR="00D02819" w:rsidRPr="00D02819" w:rsidRDefault="00D02819" w:rsidP="00092BFC">
      <w:pPr>
        <w:spacing w:after="160"/>
        <w:jc w:val="both"/>
        <w:rPr>
          <w:rFonts w:ascii="Times New Roman" w:eastAsia="Times New Roman" w:hAnsi="Times New Roman" w:cs="Times New Roman"/>
          <w:b/>
          <w:sz w:val="24"/>
          <w:szCs w:val="24"/>
        </w:rPr>
      </w:pPr>
      <w:r w:rsidRPr="00D02819">
        <w:rPr>
          <w:rFonts w:ascii="Times New Roman" w:eastAsia="Times New Roman" w:hAnsi="Times New Roman" w:cs="Times New Roman"/>
          <w:b/>
          <w:sz w:val="24"/>
          <w:szCs w:val="24"/>
        </w:rPr>
        <w:t>– обща оценка по показател „Техническо предложение“: 20</w:t>
      </w:r>
    </w:p>
    <w:tbl>
      <w:tblPr>
        <w:tblW w:w="9782" w:type="dxa"/>
        <w:tblInd w:w="-244" w:type="dxa"/>
        <w:tblLayout w:type="fixed"/>
        <w:tblCellMar>
          <w:left w:w="40" w:type="dxa"/>
          <w:right w:w="40" w:type="dxa"/>
        </w:tblCellMar>
        <w:tblLook w:val="0000" w:firstRow="0" w:lastRow="0" w:firstColumn="0" w:lastColumn="0" w:noHBand="0" w:noVBand="0"/>
      </w:tblPr>
      <w:tblGrid>
        <w:gridCol w:w="1985"/>
        <w:gridCol w:w="994"/>
        <w:gridCol w:w="5101"/>
        <w:gridCol w:w="1702"/>
      </w:tblGrid>
      <w:tr w:rsidR="00D02819" w:rsidRPr="00D02819" w:rsidTr="00617F4B">
        <w:tc>
          <w:tcPr>
            <w:tcW w:w="8080" w:type="dxa"/>
            <w:gridSpan w:val="3"/>
            <w:tcBorders>
              <w:top w:val="single" w:sz="6" w:space="0" w:color="auto"/>
              <w:left w:val="single" w:sz="6" w:space="0" w:color="auto"/>
              <w:bottom w:val="single" w:sz="6" w:space="0" w:color="auto"/>
              <w:right w:val="nil"/>
            </w:tcBorders>
          </w:tcPr>
          <w:p w:rsidR="00D02819" w:rsidRPr="00D02819" w:rsidRDefault="00D02819" w:rsidP="00092BFC">
            <w:pPr>
              <w:spacing w:after="160"/>
              <w:jc w:val="both"/>
              <w:rPr>
                <w:rFonts w:ascii="Times New Roman" w:eastAsia="Times New Roman" w:hAnsi="Times New Roman" w:cs="Times New Roman"/>
                <w:b/>
                <w:bCs/>
                <w:sz w:val="24"/>
                <w:szCs w:val="24"/>
              </w:rPr>
            </w:pPr>
            <w:r w:rsidRPr="00D02819">
              <w:rPr>
                <w:rFonts w:ascii="Times New Roman" w:eastAsia="Times New Roman" w:hAnsi="Times New Roman" w:cs="Times New Roman"/>
                <w:b/>
                <w:sz w:val="24"/>
                <w:szCs w:val="24"/>
              </w:rPr>
              <w:t>Начин на формиране оценката по елементи на показателя „качество“:</w:t>
            </w:r>
          </w:p>
        </w:tc>
        <w:tc>
          <w:tcPr>
            <w:tcW w:w="1702" w:type="dxa"/>
            <w:tcBorders>
              <w:top w:val="single" w:sz="6" w:space="0" w:color="auto"/>
              <w:left w:val="nil"/>
              <w:bottom w:val="single" w:sz="6" w:space="0" w:color="auto"/>
              <w:right w:val="single" w:sz="6" w:space="0" w:color="auto"/>
            </w:tcBorders>
          </w:tcPr>
          <w:p w:rsidR="00D02819" w:rsidRPr="00D02819" w:rsidRDefault="00D02819" w:rsidP="00092BFC">
            <w:pPr>
              <w:spacing w:after="160"/>
              <w:jc w:val="both"/>
              <w:rPr>
                <w:rFonts w:ascii="Times New Roman" w:eastAsia="Times New Roman" w:hAnsi="Times New Roman" w:cs="Times New Roman"/>
                <w:sz w:val="24"/>
                <w:szCs w:val="24"/>
              </w:rPr>
            </w:pPr>
          </w:p>
        </w:tc>
      </w:tr>
      <w:tr w:rsidR="00D02819" w:rsidRPr="00D02819" w:rsidTr="00617F4B">
        <w:trPr>
          <w:cantSplit/>
          <w:trHeight w:val="1058"/>
        </w:trPr>
        <w:tc>
          <w:tcPr>
            <w:tcW w:w="1985" w:type="dxa"/>
            <w:tcBorders>
              <w:top w:val="single" w:sz="6" w:space="0" w:color="auto"/>
              <w:left w:val="single" w:sz="6" w:space="0" w:color="auto"/>
              <w:bottom w:val="single" w:sz="6" w:space="0" w:color="auto"/>
              <w:right w:val="single" w:sz="6" w:space="0" w:color="auto"/>
            </w:tcBorders>
          </w:tcPr>
          <w:p w:rsidR="00D02819" w:rsidRPr="00D02819" w:rsidRDefault="00D02819" w:rsidP="00092BFC">
            <w:pPr>
              <w:spacing w:after="160"/>
              <w:jc w:val="both"/>
              <w:rPr>
                <w:rFonts w:ascii="Times New Roman" w:eastAsia="Times New Roman" w:hAnsi="Times New Roman" w:cs="Times New Roman"/>
                <w:b/>
                <w:bCs/>
                <w:sz w:val="24"/>
                <w:szCs w:val="24"/>
              </w:rPr>
            </w:pPr>
          </w:p>
          <w:p w:rsidR="00D02819" w:rsidRPr="00D02819" w:rsidRDefault="00D02819" w:rsidP="00092BFC">
            <w:pPr>
              <w:spacing w:after="160"/>
              <w:jc w:val="both"/>
              <w:rPr>
                <w:rFonts w:ascii="Times New Roman" w:eastAsia="Times New Roman" w:hAnsi="Times New Roman" w:cs="Times New Roman"/>
                <w:b/>
                <w:bCs/>
                <w:sz w:val="24"/>
                <w:szCs w:val="24"/>
              </w:rPr>
            </w:pPr>
            <w:r w:rsidRPr="00D02819">
              <w:rPr>
                <w:rFonts w:ascii="Times New Roman" w:eastAsia="Times New Roman" w:hAnsi="Times New Roman" w:cs="Times New Roman"/>
                <w:b/>
                <w:bCs/>
                <w:sz w:val="24"/>
                <w:szCs w:val="24"/>
              </w:rPr>
              <w:t>Показател</w:t>
            </w:r>
          </w:p>
        </w:tc>
        <w:tc>
          <w:tcPr>
            <w:tcW w:w="994" w:type="dxa"/>
            <w:tcBorders>
              <w:top w:val="single" w:sz="6" w:space="0" w:color="auto"/>
              <w:left w:val="single" w:sz="6" w:space="0" w:color="auto"/>
              <w:bottom w:val="single" w:sz="6" w:space="0" w:color="auto"/>
              <w:right w:val="single" w:sz="6" w:space="0" w:color="auto"/>
            </w:tcBorders>
            <w:vAlign w:val="center"/>
          </w:tcPr>
          <w:p w:rsidR="00D02819" w:rsidRPr="00D02819" w:rsidRDefault="00D02819" w:rsidP="00092BFC">
            <w:pPr>
              <w:spacing w:after="160"/>
              <w:jc w:val="both"/>
              <w:rPr>
                <w:rFonts w:ascii="Times New Roman" w:eastAsia="Times New Roman" w:hAnsi="Times New Roman" w:cs="Times New Roman"/>
                <w:b/>
                <w:bCs/>
                <w:sz w:val="24"/>
                <w:szCs w:val="24"/>
              </w:rPr>
            </w:pPr>
            <w:r w:rsidRPr="00D02819">
              <w:rPr>
                <w:rFonts w:ascii="Times New Roman" w:eastAsia="Times New Roman" w:hAnsi="Times New Roman" w:cs="Times New Roman"/>
                <w:b/>
                <w:bCs/>
                <w:sz w:val="24"/>
                <w:szCs w:val="24"/>
              </w:rPr>
              <w:t>Точки</w:t>
            </w:r>
          </w:p>
        </w:tc>
        <w:tc>
          <w:tcPr>
            <w:tcW w:w="5101" w:type="dxa"/>
            <w:tcBorders>
              <w:top w:val="single" w:sz="6" w:space="0" w:color="auto"/>
              <w:left w:val="single" w:sz="6" w:space="0" w:color="auto"/>
              <w:bottom w:val="single" w:sz="6" w:space="0" w:color="auto"/>
              <w:right w:val="nil"/>
            </w:tcBorders>
          </w:tcPr>
          <w:p w:rsidR="00D02819" w:rsidRPr="00D02819" w:rsidRDefault="00D02819" w:rsidP="00092BFC">
            <w:pPr>
              <w:spacing w:after="160"/>
              <w:jc w:val="both"/>
              <w:rPr>
                <w:rFonts w:ascii="Times New Roman" w:eastAsia="Times New Roman" w:hAnsi="Times New Roman" w:cs="Times New Roman"/>
                <w:b/>
                <w:bCs/>
                <w:sz w:val="24"/>
                <w:szCs w:val="24"/>
              </w:rPr>
            </w:pPr>
          </w:p>
          <w:p w:rsidR="00D02819" w:rsidRPr="00D02819" w:rsidRDefault="00D02819" w:rsidP="00092BFC">
            <w:pPr>
              <w:spacing w:after="160"/>
              <w:jc w:val="both"/>
              <w:rPr>
                <w:rFonts w:ascii="Times New Roman" w:eastAsia="Times New Roman" w:hAnsi="Times New Roman" w:cs="Times New Roman"/>
                <w:b/>
                <w:bCs/>
                <w:sz w:val="24"/>
                <w:szCs w:val="24"/>
              </w:rPr>
            </w:pPr>
            <w:r w:rsidRPr="00D02819">
              <w:rPr>
                <w:rFonts w:ascii="Times New Roman" w:eastAsia="Times New Roman" w:hAnsi="Times New Roman" w:cs="Times New Roman"/>
                <w:b/>
                <w:bCs/>
                <w:sz w:val="24"/>
                <w:szCs w:val="24"/>
              </w:rPr>
              <w:t>Мотиви за поставените оценки</w:t>
            </w:r>
          </w:p>
        </w:tc>
        <w:tc>
          <w:tcPr>
            <w:tcW w:w="1702" w:type="dxa"/>
            <w:tcBorders>
              <w:top w:val="single" w:sz="6" w:space="0" w:color="auto"/>
              <w:left w:val="nil"/>
              <w:bottom w:val="single" w:sz="6" w:space="0" w:color="auto"/>
              <w:right w:val="single" w:sz="6" w:space="0" w:color="auto"/>
            </w:tcBorders>
          </w:tcPr>
          <w:p w:rsidR="00D02819" w:rsidRPr="00D02819" w:rsidRDefault="00D02819" w:rsidP="00092BFC">
            <w:pPr>
              <w:spacing w:after="160"/>
              <w:jc w:val="both"/>
              <w:rPr>
                <w:rFonts w:ascii="Times New Roman" w:eastAsia="Times New Roman" w:hAnsi="Times New Roman" w:cs="Times New Roman"/>
                <w:sz w:val="24"/>
                <w:szCs w:val="24"/>
              </w:rPr>
            </w:pPr>
          </w:p>
        </w:tc>
      </w:tr>
      <w:tr w:rsidR="00D02819" w:rsidRPr="00D02819" w:rsidTr="00617F4B">
        <w:tc>
          <w:tcPr>
            <w:tcW w:w="1985" w:type="dxa"/>
            <w:tcBorders>
              <w:top w:val="single" w:sz="6" w:space="0" w:color="auto"/>
              <w:left w:val="single" w:sz="6" w:space="0" w:color="auto"/>
              <w:bottom w:val="single" w:sz="6" w:space="0" w:color="auto"/>
              <w:right w:val="single" w:sz="6" w:space="0" w:color="auto"/>
            </w:tcBorders>
          </w:tcPr>
          <w:p w:rsidR="00D02819" w:rsidRPr="00D02819" w:rsidRDefault="00D02819" w:rsidP="00092BFC">
            <w:pPr>
              <w:spacing w:after="160"/>
              <w:jc w:val="both"/>
              <w:rPr>
                <w:rFonts w:ascii="Times New Roman" w:eastAsia="Times New Roman" w:hAnsi="Times New Roman" w:cs="Times New Roman"/>
                <w:i/>
                <w:sz w:val="24"/>
                <w:szCs w:val="24"/>
              </w:rPr>
            </w:pPr>
            <w:r w:rsidRPr="00D02819">
              <w:rPr>
                <w:rFonts w:ascii="Times New Roman" w:eastAsia="Times New Roman" w:hAnsi="Times New Roman" w:cs="Times New Roman"/>
                <w:i/>
                <w:sz w:val="24"/>
                <w:szCs w:val="24"/>
              </w:rPr>
              <w:t>І. Обяснителна записка</w:t>
            </w:r>
          </w:p>
        </w:tc>
        <w:tc>
          <w:tcPr>
            <w:tcW w:w="994" w:type="dxa"/>
            <w:tcBorders>
              <w:top w:val="single" w:sz="6" w:space="0" w:color="auto"/>
              <w:left w:val="single" w:sz="6" w:space="0" w:color="auto"/>
              <w:bottom w:val="single" w:sz="6" w:space="0" w:color="auto"/>
              <w:right w:val="single" w:sz="6" w:space="0" w:color="auto"/>
            </w:tcBorders>
          </w:tcPr>
          <w:p w:rsidR="00D02819" w:rsidRPr="00D02819" w:rsidRDefault="00D02819" w:rsidP="00092BFC">
            <w:pPr>
              <w:spacing w:after="160"/>
              <w:jc w:val="center"/>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10</w:t>
            </w:r>
          </w:p>
        </w:tc>
        <w:tc>
          <w:tcPr>
            <w:tcW w:w="6803" w:type="dxa"/>
            <w:gridSpan w:val="2"/>
            <w:tcBorders>
              <w:top w:val="single" w:sz="6" w:space="0" w:color="auto"/>
              <w:left w:val="single" w:sz="6" w:space="0" w:color="auto"/>
              <w:bottom w:val="single" w:sz="6" w:space="0" w:color="auto"/>
              <w:right w:val="single" w:sz="6" w:space="0" w:color="auto"/>
            </w:tcBorders>
          </w:tcPr>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Предложението на участника в тази част отговаря на  указанията за разработване на Обяснителната записка, на изискванията на възложителя, на действащото законодателство, на действащите норми и стандарти и е съобразено с предмета на поръчката.</w:t>
            </w:r>
            <w:r w:rsidRPr="00D02819">
              <w:rPr>
                <w:rFonts w:ascii="Times New Roman" w:eastAsia="Calibri" w:hAnsi="Times New Roman" w:cs="Times New Roman"/>
                <w:sz w:val="24"/>
                <w:szCs w:val="24"/>
              </w:rPr>
              <w:t xml:space="preserve"> </w:t>
            </w:r>
            <w:r w:rsidRPr="00D02819">
              <w:rPr>
                <w:rFonts w:ascii="Times New Roman" w:eastAsia="Times New Roman" w:hAnsi="Times New Roman" w:cs="Times New Roman"/>
                <w:sz w:val="24"/>
                <w:szCs w:val="24"/>
              </w:rPr>
              <w:t xml:space="preserve">От предложението е видно, че участникът предлага да изпълни всички дейности, които са необходими за изпълнение на поръчката в съответствие с техническата спецификация. Участникът подробно е аргументирал своите бъдещи действия във връзка с тези дейности, ако бъде избран за Изпълнител на настоящата обществена поръчка. Предложена са под-дейност/и, които не са включени в техническата спецификация, но които биха осигурили постигане на очакваните резултати от изпълнението на договора. Представено е ясно и подробно предложение относно дейностите по управление изпълнението на договора с Възложителя за постигане на целите и резултатите на поръчката. Предложението предвижда ясни и конкретни мерки и дейности за осъществяване на вътрешен контрол за </w:t>
            </w:r>
            <w:r w:rsidRPr="00D02819">
              <w:rPr>
                <w:rFonts w:ascii="Times New Roman" w:eastAsia="Times New Roman" w:hAnsi="Times New Roman" w:cs="Times New Roman"/>
                <w:sz w:val="24"/>
                <w:szCs w:val="24"/>
              </w:rPr>
              <w:lastRenderedPageBreak/>
              <w:t>осигуряване качественото и навременно изпълнение на предвидените в рамките на договора дейности и задачи.</w:t>
            </w:r>
          </w:p>
          <w:p w:rsidR="00D02819" w:rsidRPr="00D02819" w:rsidRDefault="00D02819" w:rsidP="00092BFC">
            <w:pPr>
              <w:numPr>
                <w:ilvl w:val="0"/>
                <w:numId w:val="29"/>
              </w:num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Предложение за изпълнение на дейностите:</w:t>
            </w:r>
          </w:p>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 xml:space="preserve">Дейност 1 – на стр.11 е обоснована необходимостта от изпълнението й във връзка с целите за рециклиране и оползотворяване на отпадъците, в т.ч. по потоци отпадъци. Отчетена е спецификата на поръчката. Аргументирана е адекватността на всички 15 </w:t>
            </w:r>
            <w:proofErr w:type="spellStart"/>
            <w:r w:rsidRPr="00D02819">
              <w:rPr>
                <w:rFonts w:ascii="Times New Roman" w:eastAsia="Times New Roman" w:hAnsi="Times New Roman" w:cs="Times New Roman"/>
                <w:sz w:val="24"/>
                <w:szCs w:val="24"/>
              </w:rPr>
              <w:t>поддейности</w:t>
            </w:r>
            <w:proofErr w:type="spellEnd"/>
            <w:r w:rsidRPr="00D02819">
              <w:rPr>
                <w:rFonts w:ascii="Times New Roman" w:eastAsia="Times New Roman" w:hAnsi="Times New Roman" w:cs="Times New Roman"/>
                <w:sz w:val="24"/>
                <w:szCs w:val="24"/>
              </w:rPr>
              <w:t xml:space="preserve"> за постигане на качество на изпълнение, както следва:</w:t>
            </w:r>
          </w:p>
          <w:p w:rsidR="00D02819" w:rsidRPr="00D02819" w:rsidRDefault="00D02819" w:rsidP="00092BFC">
            <w:pPr>
              <w:spacing w:after="160"/>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Поддейност</w:t>
            </w:r>
            <w:proofErr w:type="spellEnd"/>
            <w:r w:rsidRPr="00D02819">
              <w:rPr>
                <w:rFonts w:ascii="Times New Roman" w:eastAsia="Times New Roman" w:hAnsi="Times New Roman" w:cs="Times New Roman"/>
                <w:sz w:val="24"/>
                <w:szCs w:val="24"/>
              </w:rPr>
              <w:t xml:space="preserve"> 1.1: Проучвания за определяне на подходящо местоположение на обекта (площадката или площадките) и на условията за застрояване съобразно предвижданията на устройствените планове; Посочени са адекватни източници на информация за целите на проучванията;</w:t>
            </w:r>
          </w:p>
          <w:p w:rsidR="00D02819" w:rsidRPr="00D02819" w:rsidRDefault="00D02819" w:rsidP="00092BFC">
            <w:pPr>
              <w:spacing w:after="160"/>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Поддейност</w:t>
            </w:r>
            <w:proofErr w:type="spellEnd"/>
            <w:r w:rsidRPr="00D02819">
              <w:rPr>
                <w:rFonts w:ascii="Times New Roman" w:eastAsia="Times New Roman" w:hAnsi="Times New Roman" w:cs="Times New Roman"/>
                <w:sz w:val="24"/>
                <w:szCs w:val="24"/>
              </w:rPr>
              <w:t xml:space="preserve"> 1.2: Инженерни проучвания, в т.ч. геоложки, геотехнически, хидрогеоложки, хидроложки и др., като съдържанието им се определя в зависимост от местоположението, вида, характера и спецификата на обекта;</w:t>
            </w:r>
          </w:p>
          <w:p w:rsidR="00D02819" w:rsidRPr="00D02819" w:rsidRDefault="00D02819" w:rsidP="00092BFC">
            <w:pPr>
              <w:spacing w:after="160"/>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Поддейност</w:t>
            </w:r>
            <w:proofErr w:type="spellEnd"/>
            <w:r w:rsidRPr="00D02819">
              <w:rPr>
                <w:rFonts w:ascii="Times New Roman" w:eastAsia="Times New Roman" w:hAnsi="Times New Roman" w:cs="Times New Roman"/>
                <w:sz w:val="24"/>
                <w:szCs w:val="24"/>
              </w:rPr>
              <w:t xml:space="preserve"> 1.3: Проучвания и документиране за нуждите на инвестиционното проектиране на обекти - недвижими културни ценности;</w:t>
            </w:r>
          </w:p>
          <w:p w:rsidR="00D02819" w:rsidRPr="00D02819" w:rsidRDefault="00D02819" w:rsidP="00092BFC">
            <w:pPr>
              <w:spacing w:after="160"/>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Поддейност</w:t>
            </w:r>
            <w:proofErr w:type="spellEnd"/>
            <w:r w:rsidRPr="00D02819">
              <w:rPr>
                <w:rFonts w:ascii="Times New Roman" w:eastAsia="Times New Roman" w:hAnsi="Times New Roman" w:cs="Times New Roman"/>
                <w:sz w:val="24"/>
                <w:szCs w:val="24"/>
              </w:rPr>
              <w:t xml:space="preserve"> 1.4: </w:t>
            </w:r>
            <w:proofErr w:type="spellStart"/>
            <w:r w:rsidRPr="00D02819">
              <w:rPr>
                <w:rFonts w:ascii="Times New Roman" w:eastAsia="Times New Roman" w:hAnsi="Times New Roman" w:cs="Times New Roman"/>
                <w:sz w:val="24"/>
                <w:szCs w:val="24"/>
              </w:rPr>
              <w:t>Геодезически</w:t>
            </w:r>
            <w:proofErr w:type="spellEnd"/>
            <w:r w:rsidRPr="00D02819">
              <w:rPr>
                <w:rFonts w:ascii="Times New Roman" w:eastAsia="Times New Roman" w:hAnsi="Times New Roman" w:cs="Times New Roman"/>
                <w:sz w:val="24"/>
                <w:szCs w:val="24"/>
              </w:rPr>
              <w:t xml:space="preserve"> проучвания;</w:t>
            </w:r>
          </w:p>
          <w:p w:rsidR="00D02819" w:rsidRPr="00D02819" w:rsidRDefault="00D02819" w:rsidP="00092BFC">
            <w:pPr>
              <w:spacing w:after="160"/>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Поддейност</w:t>
            </w:r>
            <w:proofErr w:type="spellEnd"/>
            <w:r w:rsidRPr="00D02819">
              <w:rPr>
                <w:rFonts w:ascii="Times New Roman" w:eastAsia="Times New Roman" w:hAnsi="Times New Roman" w:cs="Times New Roman"/>
                <w:sz w:val="24"/>
                <w:szCs w:val="24"/>
              </w:rPr>
              <w:t xml:space="preserve"> 1.5: Технологични проучвания за избор на оферта, предлагаща оптимална технология - за обекти, при които технологичното решение е определящо;</w:t>
            </w:r>
          </w:p>
          <w:p w:rsidR="00D02819" w:rsidRPr="00D02819" w:rsidRDefault="00D02819" w:rsidP="00092BFC">
            <w:pPr>
              <w:spacing w:after="160"/>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Поддейност</w:t>
            </w:r>
            <w:proofErr w:type="spellEnd"/>
            <w:r w:rsidRPr="00D02819">
              <w:rPr>
                <w:rFonts w:ascii="Times New Roman" w:eastAsia="Times New Roman" w:hAnsi="Times New Roman" w:cs="Times New Roman"/>
                <w:sz w:val="24"/>
                <w:szCs w:val="24"/>
              </w:rPr>
              <w:t xml:space="preserve"> 1.6: Технико-икономическа обосновка за определяне на икономическата целесъобразност и ефективност на инвестиционното строително намерение, в т.ч. за избор на подходящ негов вариант;</w:t>
            </w:r>
          </w:p>
          <w:p w:rsidR="00D02819" w:rsidRPr="00D02819" w:rsidRDefault="00D02819" w:rsidP="00092BFC">
            <w:pPr>
              <w:spacing w:after="160"/>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Поддейност</w:t>
            </w:r>
            <w:proofErr w:type="spellEnd"/>
            <w:r w:rsidRPr="00D02819">
              <w:rPr>
                <w:rFonts w:ascii="Times New Roman" w:eastAsia="Times New Roman" w:hAnsi="Times New Roman" w:cs="Times New Roman"/>
                <w:sz w:val="24"/>
                <w:szCs w:val="24"/>
              </w:rPr>
              <w:t xml:space="preserve"> 1.7: Обосновка на социалната целесъобразност и ефективност на инвестиционната инициатива, в т.ч. откриване на работни места и осигуряване на обществени услуги;</w:t>
            </w:r>
          </w:p>
          <w:p w:rsidR="00D02819" w:rsidRPr="00D02819" w:rsidRDefault="00D02819" w:rsidP="00092BFC">
            <w:pPr>
              <w:spacing w:after="160"/>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Поддейност</w:t>
            </w:r>
            <w:proofErr w:type="spellEnd"/>
            <w:r w:rsidRPr="00D02819">
              <w:rPr>
                <w:rFonts w:ascii="Times New Roman" w:eastAsia="Times New Roman" w:hAnsi="Times New Roman" w:cs="Times New Roman"/>
                <w:sz w:val="24"/>
                <w:szCs w:val="24"/>
              </w:rPr>
              <w:t xml:space="preserve"> 1.8: Проучвания за потенциала на териториите с особена и превантивна устройствена защита във връзка с режимите за опазване на териториите за </w:t>
            </w:r>
            <w:proofErr w:type="spellStart"/>
            <w:r w:rsidRPr="00D02819">
              <w:rPr>
                <w:rFonts w:ascii="Times New Roman" w:eastAsia="Times New Roman" w:hAnsi="Times New Roman" w:cs="Times New Roman"/>
                <w:sz w:val="24"/>
                <w:szCs w:val="24"/>
              </w:rPr>
              <w:t>природозащита</w:t>
            </w:r>
            <w:proofErr w:type="spellEnd"/>
            <w:r w:rsidRPr="00D02819">
              <w:rPr>
                <w:rFonts w:ascii="Times New Roman" w:eastAsia="Times New Roman" w:hAnsi="Times New Roman" w:cs="Times New Roman"/>
                <w:sz w:val="24"/>
                <w:szCs w:val="24"/>
              </w:rPr>
              <w:t xml:space="preserve"> и на обектите на културно-историческото наследство;</w:t>
            </w:r>
          </w:p>
          <w:p w:rsidR="00D02819" w:rsidRPr="00D02819" w:rsidRDefault="00D02819" w:rsidP="00092BFC">
            <w:pPr>
              <w:spacing w:after="160"/>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Поддейност</w:t>
            </w:r>
            <w:proofErr w:type="spellEnd"/>
            <w:r w:rsidRPr="00D02819">
              <w:rPr>
                <w:rFonts w:ascii="Times New Roman" w:eastAsia="Times New Roman" w:hAnsi="Times New Roman" w:cs="Times New Roman"/>
                <w:sz w:val="24"/>
                <w:szCs w:val="24"/>
              </w:rPr>
              <w:t xml:space="preserve"> 1.9: Вариантни проучвания за рехабилитация на </w:t>
            </w:r>
            <w:r w:rsidRPr="00D02819">
              <w:rPr>
                <w:rFonts w:ascii="Times New Roman" w:eastAsia="Times New Roman" w:hAnsi="Times New Roman" w:cs="Times New Roman"/>
                <w:sz w:val="24"/>
                <w:szCs w:val="24"/>
              </w:rPr>
              <w:lastRenderedPageBreak/>
              <w:t>съществуващи и за изграждане на нови енергийни мощности;</w:t>
            </w:r>
          </w:p>
          <w:p w:rsidR="00D02819" w:rsidRPr="00D02819" w:rsidRDefault="00D02819" w:rsidP="00092BFC">
            <w:pPr>
              <w:spacing w:after="160"/>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Поддейност</w:t>
            </w:r>
            <w:proofErr w:type="spellEnd"/>
            <w:r w:rsidRPr="00D02819">
              <w:rPr>
                <w:rFonts w:ascii="Times New Roman" w:eastAsia="Times New Roman" w:hAnsi="Times New Roman" w:cs="Times New Roman"/>
                <w:sz w:val="24"/>
                <w:szCs w:val="24"/>
              </w:rPr>
              <w:t xml:space="preserve"> 1.10: Специфични проучвания при реконструкция, пристрояване и надстрояване на съществуващи сгради, в т.ч. архитектурно и конструктивно заснемане на сградите и изследване на техническата инфраструктура;</w:t>
            </w:r>
          </w:p>
          <w:p w:rsidR="00D02819" w:rsidRPr="00D02819" w:rsidRDefault="00D02819" w:rsidP="00092BFC">
            <w:pPr>
              <w:spacing w:after="160"/>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Поддейност</w:t>
            </w:r>
            <w:proofErr w:type="spellEnd"/>
            <w:r w:rsidRPr="00D02819">
              <w:rPr>
                <w:rFonts w:ascii="Times New Roman" w:eastAsia="Times New Roman" w:hAnsi="Times New Roman" w:cs="Times New Roman"/>
                <w:sz w:val="24"/>
                <w:szCs w:val="24"/>
              </w:rPr>
              <w:t xml:space="preserve"> 1.11: Микросеизмично изследване - за енергийни, хидротехнически, транспортни и други специфични обекти;</w:t>
            </w:r>
          </w:p>
          <w:p w:rsidR="00D02819" w:rsidRPr="00D02819" w:rsidRDefault="00D02819" w:rsidP="00092BFC">
            <w:pPr>
              <w:spacing w:after="160"/>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Поддейност</w:t>
            </w:r>
            <w:proofErr w:type="spellEnd"/>
            <w:r w:rsidRPr="00D02819">
              <w:rPr>
                <w:rFonts w:ascii="Times New Roman" w:eastAsia="Times New Roman" w:hAnsi="Times New Roman" w:cs="Times New Roman"/>
                <w:sz w:val="24"/>
                <w:szCs w:val="24"/>
              </w:rPr>
              <w:t xml:space="preserve"> 1.12: Прогнозен график за продължителност на строителството от откриване на строителна площадка и определяне на строителна линия и ниво до предаване на обекта от строителя на възложителя с акт образец;</w:t>
            </w:r>
          </w:p>
          <w:p w:rsidR="00D02819" w:rsidRPr="00D02819" w:rsidRDefault="00D02819" w:rsidP="00092BFC">
            <w:pPr>
              <w:spacing w:after="160"/>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Поддейност</w:t>
            </w:r>
            <w:proofErr w:type="spellEnd"/>
            <w:r w:rsidRPr="00D02819">
              <w:rPr>
                <w:rFonts w:ascii="Times New Roman" w:eastAsia="Times New Roman" w:hAnsi="Times New Roman" w:cs="Times New Roman"/>
                <w:sz w:val="24"/>
                <w:szCs w:val="24"/>
              </w:rPr>
              <w:t xml:space="preserve"> 1.13: Прогнозна стойност на строителното намерение;</w:t>
            </w:r>
          </w:p>
          <w:p w:rsidR="00D02819" w:rsidRPr="00D02819" w:rsidRDefault="00D02819" w:rsidP="00092BFC">
            <w:pPr>
              <w:spacing w:after="160"/>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Поддейност</w:t>
            </w:r>
            <w:proofErr w:type="spellEnd"/>
            <w:r w:rsidRPr="00D02819">
              <w:rPr>
                <w:rFonts w:ascii="Times New Roman" w:eastAsia="Times New Roman" w:hAnsi="Times New Roman" w:cs="Times New Roman"/>
                <w:sz w:val="24"/>
                <w:szCs w:val="24"/>
              </w:rPr>
              <w:t xml:space="preserve"> 1.14: Задание за изготвяне на ПУП;</w:t>
            </w:r>
          </w:p>
          <w:p w:rsidR="00D02819" w:rsidRPr="00D02819" w:rsidRDefault="00D02819" w:rsidP="00092BFC">
            <w:pPr>
              <w:spacing w:after="160"/>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Поддейност</w:t>
            </w:r>
            <w:proofErr w:type="spellEnd"/>
            <w:r w:rsidRPr="00D02819">
              <w:rPr>
                <w:rFonts w:ascii="Times New Roman" w:eastAsia="Times New Roman" w:hAnsi="Times New Roman" w:cs="Times New Roman"/>
                <w:sz w:val="24"/>
                <w:szCs w:val="24"/>
              </w:rPr>
              <w:t xml:space="preserve"> 1.15: Изготвяне на ПУП;</w:t>
            </w:r>
          </w:p>
          <w:p w:rsidR="00D02819" w:rsidRPr="00D02819" w:rsidRDefault="00D02819" w:rsidP="00092BFC">
            <w:pPr>
              <w:spacing w:after="160"/>
              <w:jc w:val="both"/>
              <w:rPr>
                <w:rFonts w:ascii="Times New Roman" w:eastAsia="Times New Roman" w:hAnsi="Times New Roman" w:cs="Times New Roman"/>
                <w:sz w:val="24"/>
                <w:szCs w:val="24"/>
              </w:rPr>
            </w:pPr>
          </w:p>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 xml:space="preserve">Дейност 2- на стр. 34 е дадено обяснение за същността на дейността, като е пояснено значението и връзката й с предходната дейност. Посочени са подробно 13те части, в които инвестиционният проект ще бъде разработен. </w:t>
            </w:r>
          </w:p>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 xml:space="preserve">Следва описание на изпълнението на </w:t>
            </w:r>
            <w:proofErr w:type="spellStart"/>
            <w:r w:rsidRPr="00D02819">
              <w:rPr>
                <w:rFonts w:ascii="Times New Roman" w:eastAsia="Times New Roman" w:hAnsi="Times New Roman" w:cs="Times New Roman"/>
                <w:sz w:val="24"/>
                <w:szCs w:val="24"/>
              </w:rPr>
              <w:t>поддейностите</w:t>
            </w:r>
            <w:proofErr w:type="spellEnd"/>
            <w:r w:rsidRPr="00D02819">
              <w:rPr>
                <w:rFonts w:ascii="Times New Roman" w:eastAsia="Times New Roman" w:hAnsi="Times New Roman" w:cs="Times New Roman"/>
                <w:sz w:val="24"/>
                <w:szCs w:val="24"/>
              </w:rPr>
              <w:t xml:space="preserve"> към Дейност 2 – Уведомление за инвестиционно намерение за преценяване необходимостта от ОВОС, като е направена връзка със специфичните задължения на община Русе по Наредбата за условията и реда за извършване на оценка на въздействието върху околната среда; План за използване на получения краен продукт, като са посочени конкретни възможности за употреба на </w:t>
            </w:r>
            <w:proofErr w:type="spellStart"/>
            <w:r w:rsidRPr="00D02819">
              <w:rPr>
                <w:rFonts w:ascii="Times New Roman" w:eastAsia="Times New Roman" w:hAnsi="Times New Roman" w:cs="Times New Roman"/>
                <w:sz w:val="24"/>
                <w:szCs w:val="24"/>
              </w:rPr>
              <w:t>компоста</w:t>
            </w:r>
            <w:proofErr w:type="spellEnd"/>
            <w:r w:rsidRPr="00D02819">
              <w:rPr>
                <w:rFonts w:ascii="Times New Roman" w:eastAsia="Times New Roman" w:hAnsi="Times New Roman" w:cs="Times New Roman"/>
                <w:sz w:val="24"/>
                <w:szCs w:val="24"/>
              </w:rPr>
              <w:t xml:space="preserve">, съгласно Наредба за третиране на </w:t>
            </w:r>
            <w:proofErr w:type="spellStart"/>
            <w:r w:rsidRPr="00D02819">
              <w:rPr>
                <w:rFonts w:ascii="Times New Roman" w:eastAsia="Times New Roman" w:hAnsi="Times New Roman" w:cs="Times New Roman"/>
                <w:sz w:val="24"/>
                <w:szCs w:val="24"/>
              </w:rPr>
              <w:t>биоотпадъците</w:t>
            </w:r>
            <w:proofErr w:type="spellEnd"/>
            <w:r w:rsidRPr="00D02819">
              <w:rPr>
                <w:rFonts w:ascii="Times New Roman" w:eastAsia="Times New Roman" w:hAnsi="Times New Roman" w:cs="Times New Roman"/>
                <w:sz w:val="24"/>
                <w:szCs w:val="24"/>
              </w:rPr>
              <w:t xml:space="preserve">, съобразени със спецификата на поръчката; Схема за контрол на качеството на </w:t>
            </w:r>
            <w:proofErr w:type="spellStart"/>
            <w:r w:rsidRPr="00D02819">
              <w:rPr>
                <w:rFonts w:ascii="Times New Roman" w:eastAsia="Times New Roman" w:hAnsi="Times New Roman" w:cs="Times New Roman"/>
                <w:sz w:val="24"/>
                <w:szCs w:val="24"/>
              </w:rPr>
              <w:t>компоста</w:t>
            </w:r>
            <w:proofErr w:type="spellEnd"/>
            <w:r w:rsidRPr="00D02819">
              <w:rPr>
                <w:rFonts w:ascii="Times New Roman" w:eastAsia="Times New Roman" w:hAnsi="Times New Roman" w:cs="Times New Roman"/>
                <w:sz w:val="24"/>
                <w:szCs w:val="24"/>
              </w:rPr>
              <w:t xml:space="preserve">, чието изпълнение е обвързано с разработването на част „Технологична“ на инвестиционния проект; План за третиране на остатъчния отпадък, който ще бъде изготвен на база анализ на видовете отпадъци, генерирани при експлоатация на </w:t>
            </w:r>
            <w:proofErr w:type="spellStart"/>
            <w:r w:rsidRPr="00D02819">
              <w:rPr>
                <w:rFonts w:ascii="Times New Roman" w:eastAsia="Times New Roman" w:hAnsi="Times New Roman" w:cs="Times New Roman"/>
                <w:sz w:val="24"/>
                <w:szCs w:val="24"/>
              </w:rPr>
              <w:t>компостиращата</w:t>
            </w:r>
            <w:proofErr w:type="spellEnd"/>
            <w:r w:rsidRPr="00D02819">
              <w:rPr>
                <w:rFonts w:ascii="Times New Roman" w:eastAsia="Times New Roman" w:hAnsi="Times New Roman" w:cs="Times New Roman"/>
                <w:sz w:val="24"/>
                <w:szCs w:val="24"/>
              </w:rPr>
              <w:t xml:space="preserve"> инсталация; Индикативен опис на съоръженията е обвързана с подготовката на част „Технологична“ на проекта, като участникът посочва, че ще съобрази допустимостта на разходите, съгласно Насоките на ОПОС.</w:t>
            </w:r>
          </w:p>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lastRenderedPageBreak/>
              <w:t xml:space="preserve">Дейност 3 – в предложението си за подготовка на финансов и икономически анализ, участникът е предложил специфични подходи за определяне на разходите при варианта, в който </w:t>
            </w:r>
            <w:proofErr w:type="spellStart"/>
            <w:r w:rsidRPr="00D02819">
              <w:rPr>
                <w:rFonts w:ascii="Times New Roman" w:eastAsia="Times New Roman" w:hAnsi="Times New Roman" w:cs="Times New Roman"/>
                <w:sz w:val="24"/>
                <w:szCs w:val="24"/>
              </w:rPr>
              <w:t>компостиращата</w:t>
            </w:r>
            <w:proofErr w:type="spellEnd"/>
            <w:r w:rsidRPr="00D02819">
              <w:rPr>
                <w:rFonts w:ascii="Times New Roman" w:eastAsia="Times New Roman" w:hAnsi="Times New Roman" w:cs="Times New Roman"/>
                <w:sz w:val="24"/>
                <w:szCs w:val="24"/>
              </w:rPr>
              <w:t xml:space="preserve"> инсталация е част от регионалното депо, както и при вариант </w:t>
            </w:r>
            <w:proofErr w:type="spellStart"/>
            <w:r w:rsidRPr="00D02819">
              <w:rPr>
                <w:rFonts w:ascii="Times New Roman" w:eastAsia="Times New Roman" w:hAnsi="Times New Roman" w:cs="Times New Roman"/>
                <w:sz w:val="24"/>
                <w:szCs w:val="24"/>
              </w:rPr>
              <w:t>компостиращата</w:t>
            </w:r>
            <w:proofErr w:type="spellEnd"/>
            <w:r w:rsidRPr="00D02819">
              <w:rPr>
                <w:rFonts w:ascii="Times New Roman" w:eastAsia="Times New Roman" w:hAnsi="Times New Roman" w:cs="Times New Roman"/>
                <w:sz w:val="24"/>
                <w:szCs w:val="24"/>
              </w:rPr>
              <w:t xml:space="preserve"> инсталация да е нов обект. На стр. 51 участникът е допуснал неточност, като е цитирал ВиК сектор, вместо сектор отпадъци. Въпреки това, при описание на разходите и приходите, които ще бъдат взети предвид, участникът е взел предвид спецификата на поръчката, като е описал, че ще вземе предвид разходи за сметосъбиране, депониране, разделно събиране на </w:t>
            </w:r>
            <w:proofErr w:type="spellStart"/>
            <w:r w:rsidRPr="00D02819">
              <w:rPr>
                <w:rFonts w:ascii="Times New Roman" w:eastAsia="Times New Roman" w:hAnsi="Times New Roman" w:cs="Times New Roman"/>
                <w:sz w:val="24"/>
                <w:szCs w:val="24"/>
              </w:rPr>
              <w:t>биоразградими</w:t>
            </w:r>
            <w:proofErr w:type="spellEnd"/>
            <w:r w:rsidRPr="00D02819">
              <w:rPr>
                <w:rFonts w:ascii="Times New Roman" w:eastAsia="Times New Roman" w:hAnsi="Times New Roman" w:cs="Times New Roman"/>
                <w:sz w:val="24"/>
                <w:szCs w:val="24"/>
              </w:rPr>
              <w:t xml:space="preserve"> отпадъци, приходи от продажба на </w:t>
            </w:r>
            <w:proofErr w:type="spellStart"/>
            <w:r w:rsidRPr="00D02819">
              <w:rPr>
                <w:rFonts w:ascii="Times New Roman" w:eastAsia="Times New Roman" w:hAnsi="Times New Roman" w:cs="Times New Roman"/>
                <w:sz w:val="24"/>
                <w:szCs w:val="24"/>
              </w:rPr>
              <w:t>компост</w:t>
            </w:r>
            <w:proofErr w:type="spellEnd"/>
            <w:r w:rsidRPr="00D02819">
              <w:rPr>
                <w:rFonts w:ascii="Times New Roman" w:eastAsia="Times New Roman" w:hAnsi="Times New Roman" w:cs="Times New Roman"/>
                <w:sz w:val="24"/>
                <w:szCs w:val="24"/>
              </w:rPr>
              <w:t xml:space="preserve"> и др. специфични за поръчката, поради което посочването на ВиК сектора се отчита като техническа грешка. В допълнение с цел гарантиране качественото изпълнение на дейността, участникът е представил отделните </w:t>
            </w:r>
            <w:proofErr w:type="spellStart"/>
            <w:r w:rsidRPr="00D02819">
              <w:rPr>
                <w:rFonts w:ascii="Times New Roman" w:eastAsia="Times New Roman" w:hAnsi="Times New Roman" w:cs="Times New Roman"/>
                <w:sz w:val="24"/>
                <w:szCs w:val="24"/>
              </w:rPr>
              <w:t>поддейности</w:t>
            </w:r>
            <w:proofErr w:type="spellEnd"/>
            <w:r w:rsidRPr="00D02819">
              <w:rPr>
                <w:rFonts w:ascii="Times New Roman" w:eastAsia="Times New Roman" w:hAnsi="Times New Roman" w:cs="Times New Roman"/>
                <w:sz w:val="24"/>
                <w:szCs w:val="24"/>
              </w:rPr>
              <w:t xml:space="preserve"> за подготовка на анализа, а именно:</w:t>
            </w:r>
            <w:r w:rsidRPr="00D02819">
              <w:rPr>
                <w:rFonts w:ascii="Times New Roman" w:eastAsia="Calibri" w:hAnsi="Times New Roman" w:cs="Times New Roman"/>
                <w:sz w:val="24"/>
                <w:szCs w:val="24"/>
              </w:rPr>
              <w:t xml:space="preserve"> </w:t>
            </w:r>
            <w:r w:rsidR="00FD66B5" w:rsidRPr="00713439">
              <w:rPr>
                <w:rFonts w:ascii="Times New Roman" w:eastAsia="Times New Roman" w:hAnsi="Times New Roman" w:cs="Times New Roman"/>
                <w:b/>
                <w:i/>
                <w:sz w:val="24"/>
                <w:szCs w:val="24"/>
              </w:rPr>
              <w:t>(заличена информация на основание чл. 33 ал. 4 от ЗОП /отм./)</w:t>
            </w:r>
            <w:r w:rsidR="00713439">
              <w:rPr>
                <w:rFonts w:ascii="Times New Roman" w:eastAsia="Times New Roman" w:hAnsi="Times New Roman" w:cs="Times New Roman"/>
                <w:b/>
                <w:i/>
                <w:sz w:val="24"/>
                <w:szCs w:val="24"/>
              </w:rPr>
              <w:t xml:space="preserve">. </w:t>
            </w:r>
            <w:r w:rsidRPr="00D02819">
              <w:rPr>
                <w:rFonts w:ascii="Times New Roman" w:eastAsia="Times New Roman" w:hAnsi="Times New Roman" w:cs="Times New Roman"/>
                <w:sz w:val="24"/>
                <w:szCs w:val="24"/>
              </w:rPr>
              <w:t xml:space="preserve">Всички </w:t>
            </w:r>
            <w:proofErr w:type="spellStart"/>
            <w:r w:rsidRPr="00D02819">
              <w:rPr>
                <w:rFonts w:ascii="Times New Roman" w:eastAsia="Times New Roman" w:hAnsi="Times New Roman" w:cs="Times New Roman"/>
                <w:sz w:val="24"/>
                <w:szCs w:val="24"/>
              </w:rPr>
              <w:t>поддейности</w:t>
            </w:r>
            <w:proofErr w:type="spellEnd"/>
            <w:r w:rsidRPr="00D02819">
              <w:rPr>
                <w:rFonts w:ascii="Times New Roman" w:eastAsia="Times New Roman" w:hAnsi="Times New Roman" w:cs="Times New Roman"/>
                <w:sz w:val="24"/>
                <w:szCs w:val="24"/>
              </w:rPr>
              <w:t xml:space="preserve"> са представени подробно и ясно, като са посочени специфични за поръчката аспекти на изпълнението им.</w:t>
            </w:r>
          </w:p>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 xml:space="preserve">Дейност 4 – участникът е описал подробно същността на дейността, като е обосновал необходимостта от извършването й; посочени са конкретните изисквания на ОПОС и връзката на резултатите от изпълнението й с постигане целите на община Русе; направена е връзка с изискването на възложителя да бъдат индивидуализирани образци за възлагане на УОИИ, които се очаква да бъдат предоставени от УО на ОПОС. Участникът е описал </w:t>
            </w:r>
            <w:proofErr w:type="spellStart"/>
            <w:r w:rsidRPr="00D02819">
              <w:rPr>
                <w:rFonts w:ascii="Times New Roman" w:eastAsia="Times New Roman" w:hAnsi="Times New Roman" w:cs="Times New Roman"/>
                <w:sz w:val="24"/>
                <w:szCs w:val="24"/>
              </w:rPr>
              <w:t>поддейностите</w:t>
            </w:r>
            <w:proofErr w:type="spellEnd"/>
            <w:r w:rsidRPr="00D02819">
              <w:rPr>
                <w:rFonts w:ascii="Times New Roman" w:eastAsia="Times New Roman" w:hAnsi="Times New Roman" w:cs="Times New Roman"/>
                <w:sz w:val="24"/>
                <w:szCs w:val="24"/>
              </w:rPr>
              <w:t xml:space="preserve">, които ще гарантират качественото изпълнение на дейността - </w:t>
            </w:r>
            <w:r w:rsidR="00CD1D33" w:rsidRPr="00713439">
              <w:rPr>
                <w:rFonts w:ascii="Times New Roman" w:eastAsia="Times New Roman" w:hAnsi="Times New Roman" w:cs="Times New Roman"/>
                <w:b/>
                <w:i/>
                <w:sz w:val="24"/>
                <w:szCs w:val="24"/>
              </w:rPr>
              <w:t>(заличена информация на основание чл. 33 ал. 4 от ЗОП /отм./)</w:t>
            </w:r>
            <w:r w:rsidR="00CD1D33">
              <w:rPr>
                <w:rFonts w:ascii="Times New Roman" w:eastAsia="Times New Roman" w:hAnsi="Times New Roman" w:cs="Times New Roman"/>
                <w:b/>
                <w:i/>
                <w:sz w:val="24"/>
                <w:szCs w:val="24"/>
              </w:rPr>
              <w:t xml:space="preserve">. </w:t>
            </w:r>
            <w:r w:rsidRPr="00D02819">
              <w:rPr>
                <w:rFonts w:ascii="Times New Roman" w:eastAsia="Times New Roman" w:hAnsi="Times New Roman" w:cs="Times New Roman"/>
                <w:sz w:val="24"/>
                <w:szCs w:val="24"/>
              </w:rPr>
              <w:t>за държавни помощи от община Русе в качеството й на администратор на помощ, вкл. Процедура за спазване правилата за държавни помощи; Приложения към процедурата за спазване правилата за държавни помощи. Дейността е описана ясно и подробно, като е съобразена с нормативната уредба и показва конкретните действия, които участникът предлага да извърши. Допълнителните дейности са пряко свързани с дейността и целите на възложителя.</w:t>
            </w:r>
          </w:p>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 xml:space="preserve">Дейност 5 – предложението на участника за разработване на документации за обществени поръчки разглежда специфични за поръчката аспекти, свързани с изискванията за прозрачност при разходването на средства от ЕСИФ и предотвратяване налагането на финансови корекции; участникът е отчел настъпилата промяна в нормативната уредба, като е посочил, че </w:t>
            </w:r>
            <w:r w:rsidRPr="00D02819">
              <w:rPr>
                <w:rFonts w:ascii="Times New Roman" w:eastAsia="Times New Roman" w:hAnsi="Times New Roman" w:cs="Times New Roman"/>
                <w:sz w:val="24"/>
                <w:szCs w:val="24"/>
              </w:rPr>
              <w:lastRenderedPageBreak/>
              <w:t xml:space="preserve">при изпълнението на дейността ще спазва влезлия в сила на 15.04.2016г. Закон за обществените поръчки. На стр. 74-86 са разгледани конкретни възможности за прилагане на различни процедури по ЗОП, като са съобразени със специфичния предмет на поръчките, за които ще бъдат изготвени документации. Участникът е обвързал предложението за изпълнение на дейността с очакваните дейности по проекта по ОПОС. Представени са критерии, които участникът предлага да използва при разработване на стратегия за възлагане на обществени поръчки, като допълнителна дейност за постигане целите на възложителя. Участникът е обосновал връзката на допълнителната дейност с основната дейност и необходимостта от нея. Участникът е предложил дейността да бъде изпълнена, чрез следните </w:t>
            </w:r>
            <w:proofErr w:type="spellStart"/>
            <w:r w:rsidRPr="00D02819">
              <w:rPr>
                <w:rFonts w:ascii="Times New Roman" w:eastAsia="Times New Roman" w:hAnsi="Times New Roman" w:cs="Times New Roman"/>
                <w:sz w:val="24"/>
                <w:szCs w:val="24"/>
              </w:rPr>
              <w:t>поддейности</w:t>
            </w:r>
            <w:proofErr w:type="spellEnd"/>
            <w:r w:rsidRPr="00D02819">
              <w:rPr>
                <w:rFonts w:ascii="Times New Roman" w:eastAsia="Times New Roman" w:hAnsi="Times New Roman" w:cs="Times New Roman"/>
                <w:sz w:val="24"/>
                <w:szCs w:val="24"/>
              </w:rPr>
              <w:t xml:space="preserve">: </w:t>
            </w:r>
            <w:r w:rsidR="00CD1D33" w:rsidRPr="00CD1D33">
              <w:rPr>
                <w:rFonts w:ascii="Times New Roman" w:eastAsia="Times New Roman" w:hAnsi="Times New Roman" w:cs="Times New Roman"/>
                <w:b/>
                <w:i/>
                <w:sz w:val="24"/>
                <w:szCs w:val="24"/>
              </w:rPr>
              <w:t xml:space="preserve">(заличена информация на основание чл. 33 ал. 4 от ЗОП /отм./). </w:t>
            </w:r>
            <w:r w:rsidRPr="00D02819">
              <w:rPr>
                <w:rFonts w:ascii="Times New Roman" w:eastAsia="Times New Roman" w:hAnsi="Times New Roman" w:cs="Times New Roman"/>
                <w:sz w:val="24"/>
                <w:szCs w:val="24"/>
              </w:rPr>
              <w:t xml:space="preserve"> Всички </w:t>
            </w:r>
            <w:proofErr w:type="spellStart"/>
            <w:r w:rsidRPr="00D02819">
              <w:rPr>
                <w:rFonts w:ascii="Times New Roman" w:eastAsia="Times New Roman" w:hAnsi="Times New Roman" w:cs="Times New Roman"/>
                <w:sz w:val="24"/>
                <w:szCs w:val="24"/>
              </w:rPr>
              <w:t>поддейности</w:t>
            </w:r>
            <w:proofErr w:type="spellEnd"/>
            <w:r w:rsidRPr="00D02819">
              <w:rPr>
                <w:rFonts w:ascii="Times New Roman" w:eastAsia="Times New Roman" w:hAnsi="Times New Roman" w:cs="Times New Roman"/>
                <w:sz w:val="24"/>
                <w:szCs w:val="24"/>
              </w:rPr>
              <w:t xml:space="preserve"> са детайлно описани и са съобразени с предмета на поръчката, като участникът предлага и допълнителни, които представя като адекватни за постигане целите на възложителя. Описани са задачи за изпълнение на всяка предложена </w:t>
            </w:r>
            <w:proofErr w:type="spellStart"/>
            <w:r w:rsidRPr="00D02819">
              <w:rPr>
                <w:rFonts w:ascii="Times New Roman" w:eastAsia="Times New Roman" w:hAnsi="Times New Roman" w:cs="Times New Roman"/>
                <w:sz w:val="24"/>
                <w:szCs w:val="24"/>
              </w:rPr>
              <w:t>поддейност</w:t>
            </w:r>
            <w:proofErr w:type="spellEnd"/>
            <w:r w:rsidRPr="00D02819">
              <w:rPr>
                <w:rFonts w:ascii="Times New Roman" w:eastAsia="Times New Roman" w:hAnsi="Times New Roman" w:cs="Times New Roman"/>
                <w:sz w:val="24"/>
                <w:szCs w:val="24"/>
              </w:rPr>
              <w:t>, което допълнително разяснява конкретния им обхват.</w:t>
            </w:r>
          </w:p>
          <w:p w:rsidR="00D02819" w:rsidRPr="00D02819" w:rsidRDefault="00D02819" w:rsidP="00092BFC">
            <w:pPr>
              <w:spacing w:after="160"/>
              <w:jc w:val="both"/>
              <w:rPr>
                <w:rFonts w:ascii="Times New Roman" w:eastAsia="Times New Roman" w:hAnsi="Times New Roman" w:cs="Times New Roman"/>
                <w:sz w:val="24"/>
                <w:szCs w:val="24"/>
                <w:lang w:val="en-US"/>
              </w:rPr>
            </w:pPr>
            <w:r w:rsidRPr="00D02819">
              <w:rPr>
                <w:rFonts w:ascii="Times New Roman" w:eastAsia="Times New Roman" w:hAnsi="Times New Roman" w:cs="Times New Roman"/>
                <w:sz w:val="24"/>
                <w:szCs w:val="24"/>
              </w:rPr>
              <w:t>Б. Предложение относно управление на договора, включително процедури за контрол с цел качественото и навременно изпълнение на поръчката</w:t>
            </w:r>
            <w:r w:rsidRPr="00D02819">
              <w:rPr>
                <w:rFonts w:ascii="Times New Roman" w:eastAsia="Times New Roman" w:hAnsi="Times New Roman" w:cs="Times New Roman"/>
                <w:sz w:val="24"/>
                <w:szCs w:val="24"/>
                <w:lang w:val="en-US"/>
              </w:rPr>
              <w:t>.</w:t>
            </w:r>
          </w:p>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 xml:space="preserve">Представеният от участника общ подход за управление на договора включва описание на политиката по качество, функциите и отговорностите на членовете на обединението в процеса на контрол на качеството и начините за наблюдение и измерване качеството на продуктите от дейността на участника. Участникът е представил мерки за постигане на резултатите от всяка дейност ясно в табличен вид. Мерките са адекватни за специфичния предмет на поръчката. </w:t>
            </w:r>
          </w:p>
        </w:tc>
      </w:tr>
      <w:tr w:rsidR="00D02819" w:rsidRPr="00D02819" w:rsidTr="00617F4B">
        <w:tc>
          <w:tcPr>
            <w:tcW w:w="1985" w:type="dxa"/>
            <w:tcBorders>
              <w:top w:val="single" w:sz="6" w:space="0" w:color="auto"/>
              <w:left w:val="single" w:sz="6" w:space="0" w:color="auto"/>
              <w:bottom w:val="single" w:sz="6" w:space="0" w:color="auto"/>
              <w:right w:val="single" w:sz="6" w:space="0" w:color="auto"/>
            </w:tcBorders>
          </w:tcPr>
          <w:p w:rsidR="00D02819" w:rsidRPr="00D02819" w:rsidRDefault="00D02819" w:rsidP="00092BFC">
            <w:pPr>
              <w:spacing w:after="160"/>
              <w:jc w:val="both"/>
              <w:rPr>
                <w:rFonts w:ascii="Times New Roman" w:eastAsia="Times New Roman" w:hAnsi="Times New Roman" w:cs="Times New Roman"/>
                <w:i/>
                <w:sz w:val="24"/>
                <w:szCs w:val="24"/>
              </w:rPr>
            </w:pPr>
            <w:r w:rsidRPr="00D02819">
              <w:rPr>
                <w:rFonts w:ascii="Times New Roman" w:eastAsia="Times New Roman" w:hAnsi="Times New Roman" w:cs="Times New Roman"/>
                <w:i/>
                <w:sz w:val="24"/>
                <w:szCs w:val="24"/>
              </w:rPr>
              <w:lastRenderedPageBreak/>
              <w:t xml:space="preserve">ІІ. Организация на работата  </w:t>
            </w:r>
          </w:p>
        </w:tc>
        <w:tc>
          <w:tcPr>
            <w:tcW w:w="994" w:type="dxa"/>
            <w:tcBorders>
              <w:top w:val="single" w:sz="6" w:space="0" w:color="auto"/>
              <w:left w:val="single" w:sz="6" w:space="0" w:color="auto"/>
              <w:bottom w:val="single" w:sz="6" w:space="0" w:color="auto"/>
              <w:right w:val="single" w:sz="6" w:space="0" w:color="auto"/>
            </w:tcBorders>
          </w:tcPr>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10</w:t>
            </w:r>
          </w:p>
        </w:tc>
        <w:tc>
          <w:tcPr>
            <w:tcW w:w="6803" w:type="dxa"/>
            <w:gridSpan w:val="2"/>
            <w:tcBorders>
              <w:top w:val="single" w:sz="6" w:space="0" w:color="auto"/>
              <w:left w:val="single" w:sz="6" w:space="0" w:color="auto"/>
              <w:bottom w:val="single" w:sz="6" w:space="0" w:color="auto"/>
              <w:right w:val="single" w:sz="6" w:space="0" w:color="auto"/>
            </w:tcBorders>
          </w:tcPr>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Предложението на участника относно организация изпълнението на работата, мобилизацията и разпределението на предвидените ресурси започва на стр.107 с ясно описание на предвидения подход за организация и разпределение на задачи и отговорности в екипа, включително мобилизация на експертите. Участникът е описал взаимовръзката на предвидените канали за комуникация с осигуряване на качествено и навременно изпълнение на договора.</w:t>
            </w:r>
          </w:p>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 xml:space="preserve">Представена е подхода по отношение на действията на участника за организация на човешки, времеви и технически </w:t>
            </w:r>
            <w:r w:rsidRPr="00D02819">
              <w:rPr>
                <w:rFonts w:ascii="Times New Roman" w:eastAsia="Times New Roman" w:hAnsi="Times New Roman" w:cs="Times New Roman"/>
                <w:sz w:val="24"/>
                <w:szCs w:val="24"/>
              </w:rPr>
              <w:lastRenderedPageBreak/>
              <w:t>ресурси за изпълнение на поръчката, както и основните елементи на подхода за вътре-екипна комуникация и комуникация с възложителя. Представянето на организацията е конкретно и адекватно на предмета на поръчката. Таблично в индикативен график на стр. 112-113 са представени срокове за изпълнение на дейностите, като са посочени съображенията на участника, адекватни на изискванията за изпълнението на всяка от дейностите, посочени в Техническата спецификация.</w:t>
            </w:r>
          </w:p>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Участникът ясно и подробно е представил в табличен вид отговорностите на всеки от експертите, задълженията и конкретните задачи по всяка от дейностите. Начинът на представяне дава възможност да се проследи обезпечеността на изпълнението на всяка от дейностите с човешки ресурс, като е предложен допълнителен експерт проектант. Към него е предложен екип от 10 експерти, които ще отговарят за подготовката на отделните частни на инвестиционния проект. Посочени са срокове за изпълнение на задачите по фаза идеен проект с цел гарантиране спазването на сроковете по поръчката, които участникът адекватно определя като кратки. В допълнение участникът е предоставил информация относно възможността да обезпечи изпълнението на договора с финансови, технологични, технически ресурси и ноу-хау, включително командировъчни до гр. Русе. На стр. 125-126 участникът е представил механизмът за координация, който ще приложи, като посочва ясна организационна и йерархична структура на предложените експерти и техните отговорности в това отношение. Участникът е представил механизми за организация на отношенията със заинтересованите страни и конкретни процедури за идентифициране на заинтересованите страни и процедури за координация и взаимодействие, като е следвана логиката на процедурите по подготовка на продуктите по договора.</w:t>
            </w:r>
          </w:p>
          <w:p w:rsidR="00D02819" w:rsidRPr="00D02819" w:rsidRDefault="00D02819" w:rsidP="00092BFC">
            <w:pPr>
              <w:spacing w:after="160"/>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Заинтересованите страни, които са специфични за предмета на поръчката, са посочени в задачите на експертите, както и в частта с предложението на участника да поддържа и съхранява документите по поръчката в база данни, като елемент на организацията на работата.</w:t>
            </w:r>
          </w:p>
        </w:tc>
      </w:tr>
    </w:tbl>
    <w:p w:rsidR="00D02819" w:rsidRPr="00D02819" w:rsidRDefault="00D02819" w:rsidP="00092BFC">
      <w:pPr>
        <w:spacing w:after="0"/>
        <w:jc w:val="both"/>
        <w:rPr>
          <w:rFonts w:ascii="Calibri" w:eastAsia="Calibri" w:hAnsi="Calibri" w:cs="Times New Roman"/>
          <w:lang w:val="en-US"/>
        </w:rPr>
      </w:pPr>
    </w:p>
    <w:p w:rsidR="00D02819" w:rsidRPr="00D02819" w:rsidRDefault="00D02819" w:rsidP="00092BFC">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Съгласно Методиката, </w:t>
      </w:r>
      <w:r w:rsidRPr="00D02819">
        <w:rPr>
          <w:rFonts w:ascii="Times New Roman" w:eastAsia="Times New Roman" w:hAnsi="Times New Roman" w:cs="Times New Roman"/>
          <w:sz w:val="24"/>
          <w:szCs w:val="24"/>
        </w:rPr>
        <w:t xml:space="preserve">Оценката по показател </w:t>
      </w:r>
      <w:r w:rsidRPr="00D02819">
        <w:rPr>
          <w:rFonts w:ascii="Times New Roman" w:eastAsia="Times New Roman" w:hAnsi="Times New Roman" w:cs="Times New Roman"/>
          <w:b/>
          <w:sz w:val="24"/>
          <w:szCs w:val="24"/>
        </w:rPr>
        <w:t xml:space="preserve">„Техническо предложение” </w:t>
      </w:r>
      <w:r w:rsidRPr="00D02819">
        <w:rPr>
          <w:rFonts w:ascii="Times New Roman" w:eastAsia="Times New Roman" w:hAnsi="Times New Roman" w:cs="Times New Roman"/>
          <w:sz w:val="24"/>
          <w:szCs w:val="24"/>
        </w:rPr>
        <w:t xml:space="preserve">на всяко едно от предложенията се изчислява по следната формула: </w:t>
      </w:r>
    </w:p>
    <w:p w:rsidR="00D02819" w:rsidRPr="00D02819" w:rsidRDefault="00D02819" w:rsidP="00092BFC">
      <w:pPr>
        <w:spacing w:after="0"/>
        <w:ind w:firstLine="426"/>
        <w:jc w:val="both"/>
        <w:rPr>
          <w:rFonts w:ascii="Times New Roman" w:eastAsia="Times New Roman" w:hAnsi="Times New Roman" w:cs="Times New Roman"/>
          <w:b/>
          <w:sz w:val="24"/>
          <w:szCs w:val="24"/>
        </w:rPr>
      </w:pPr>
      <w:r w:rsidRPr="00D02819">
        <w:rPr>
          <w:rFonts w:ascii="Times New Roman" w:eastAsia="Times New Roman" w:hAnsi="Times New Roman" w:cs="Times New Roman"/>
          <w:b/>
          <w:sz w:val="24"/>
          <w:szCs w:val="24"/>
        </w:rPr>
        <w:tab/>
        <w:t xml:space="preserve">           T</w:t>
      </w:r>
      <w:r w:rsidRPr="00D02819">
        <w:rPr>
          <w:rFonts w:ascii="Times New Roman" w:eastAsia="Times New Roman" w:hAnsi="Times New Roman" w:cs="Times New Roman"/>
          <w:b/>
          <w:sz w:val="24"/>
          <w:szCs w:val="24"/>
          <w:vertAlign w:val="subscript"/>
        </w:rPr>
        <w:t>N</w:t>
      </w:r>
    </w:p>
    <w:p w:rsidR="00D02819" w:rsidRPr="00D02819" w:rsidRDefault="00D02819" w:rsidP="00092BFC">
      <w:pPr>
        <w:spacing w:after="0"/>
        <w:ind w:firstLine="426"/>
        <w:jc w:val="both"/>
        <w:rPr>
          <w:rFonts w:ascii="Times New Roman" w:eastAsia="Times New Roman" w:hAnsi="Times New Roman" w:cs="Times New Roman"/>
          <w:b/>
          <w:sz w:val="24"/>
          <w:szCs w:val="24"/>
        </w:rPr>
      </w:pPr>
      <w:r w:rsidRPr="00D02819">
        <w:rPr>
          <w:rFonts w:ascii="Times New Roman" w:eastAsia="Times New Roman" w:hAnsi="Times New Roman" w:cs="Times New Roman"/>
          <w:b/>
          <w:sz w:val="24"/>
          <w:szCs w:val="24"/>
        </w:rPr>
        <w:t xml:space="preserve">ОТ = -------------- x </w:t>
      </w:r>
      <w:r w:rsidRPr="00D02819">
        <w:rPr>
          <w:rFonts w:ascii="Times New Roman" w:eastAsia="Times New Roman" w:hAnsi="Times New Roman" w:cs="Times New Roman"/>
          <w:b/>
          <w:sz w:val="24"/>
          <w:szCs w:val="24"/>
          <w:lang w:val="en-US"/>
        </w:rPr>
        <w:t>5</w:t>
      </w:r>
      <w:r w:rsidRPr="00D02819">
        <w:rPr>
          <w:rFonts w:ascii="Times New Roman" w:eastAsia="Times New Roman" w:hAnsi="Times New Roman" w:cs="Times New Roman"/>
          <w:b/>
          <w:sz w:val="24"/>
          <w:szCs w:val="24"/>
        </w:rPr>
        <w:t>0</w:t>
      </w:r>
    </w:p>
    <w:p w:rsidR="00D02819" w:rsidRPr="00D02819" w:rsidRDefault="00D02819" w:rsidP="00D57265">
      <w:pPr>
        <w:spacing w:after="0"/>
        <w:ind w:firstLine="426"/>
        <w:jc w:val="both"/>
        <w:rPr>
          <w:rFonts w:ascii="Times New Roman" w:eastAsia="Times New Roman" w:hAnsi="Times New Roman" w:cs="Times New Roman"/>
          <w:b/>
          <w:sz w:val="24"/>
          <w:szCs w:val="24"/>
          <w:vertAlign w:val="subscript"/>
        </w:rPr>
      </w:pPr>
      <w:r w:rsidRPr="00D02819">
        <w:rPr>
          <w:rFonts w:ascii="Times New Roman" w:eastAsia="Times New Roman" w:hAnsi="Times New Roman" w:cs="Times New Roman"/>
          <w:b/>
          <w:sz w:val="24"/>
          <w:szCs w:val="24"/>
        </w:rPr>
        <w:tab/>
        <w:t xml:space="preserve">        </w:t>
      </w:r>
      <w:proofErr w:type="spellStart"/>
      <w:r w:rsidRPr="00D02819">
        <w:rPr>
          <w:rFonts w:ascii="Times New Roman" w:eastAsia="Times New Roman" w:hAnsi="Times New Roman" w:cs="Times New Roman"/>
          <w:b/>
          <w:sz w:val="24"/>
          <w:szCs w:val="24"/>
        </w:rPr>
        <w:t>T</w:t>
      </w:r>
      <w:r w:rsidRPr="00D02819">
        <w:rPr>
          <w:rFonts w:ascii="Times New Roman" w:eastAsia="Times New Roman" w:hAnsi="Times New Roman" w:cs="Times New Roman"/>
          <w:b/>
          <w:sz w:val="24"/>
          <w:szCs w:val="24"/>
          <w:vertAlign w:val="subscript"/>
        </w:rPr>
        <w:t>Nmax</w:t>
      </w:r>
      <w:proofErr w:type="spellEnd"/>
    </w:p>
    <w:p w:rsidR="00D02819" w:rsidRPr="00D02819" w:rsidRDefault="00D02819" w:rsidP="00092BFC">
      <w:pPr>
        <w:spacing w:after="0"/>
        <w:ind w:firstLine="426"/>
        <w:jc w:val="both"/>
        <w:rPr>
          <w:rFonts w:ascii="Times New Roman" w:eastAsia="Times New Roman" w:hAnsi="Times New Roman" w:cs="Times New Roman"/>
          <w:b/>
          <w:sz w:val="24"/>
          <w:szCs w:val="24"/>
        </w:rPr>
      </w:pPr>
      <w:r w:rsidRPr="00D02819">
        <w:rPr>
          <w:rFonts w:ascii="Times New Roman" w:eastAsia="Times New Roman" w:hAnsi="Times New Roman" w:cs="Times New Roman"/>
          <w:b/>
          <w:sz w:val="24"/>
          <w:szCs w:val="24"/>
        </w:rPr>
        <w:lastRenderedPageBreak/>
        <w:t>където:</w:t>
      </w:r>
    </w:p>
    <w:p w:rsidR="00D02819" w:rsidRPr="00D02819" w:rsidRDefault="00D02819" w:rsidP="00092BFC">
      <w:pPr>
        <w:spacing w:after="0"/>
        <w:ind w:firstLine="426"/>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Т</w:t>
      </w:r>
      <w:r w:rsidRPr="00D02819">
        <w:rPr>
          <w:rFonts w:ascii="Times New Roman" w:eastAsia="Times New Roman" w:hAnsi="Times New Roman" w:cs="Times New Roman"/>
          <w:sz w:val="24"/>
          <w:szCs w:val="24"/>
          <w:vertAlign w:val="subscript"/>
        </w:rPr>
        <w:t>N</w:t>
      </w:r>
      <w:r w:rsidRPr="00D02819">
        <w:rPr>
          <w:rFonts w:ascii="Times New Roman" w:eastAsia="Times New Roman" w:hAnsi="Times New Roman" w:cs="Times New Roman"/>
          <w:sz w:val="24"/>
          <w:szCs w:val="24"/>
        </w:rPr>
        <w:t xml:space="preserve"> – резултата от оценката на членовете на комисията за оценяваната оферта</w:t>
      </w:r>
    </w:p>
    <w:p w:rsidR="00D02819" w:rsidRPr="00D02819" w:rsidRDefault="00D02819" w:rsidP="00092BFC">
      <w:pPr>
        <w:spacing w:after="0"/>
        <w:ind w:firstLine="426"/>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T</w:t>
      </w:r>
      <w:r w:rsidRPr="00D02819">
        <w:rPr>
          <w:rFonts w:ascii="Times New Roman" w:eastAsia="Times New Roman" w:hAnsi="Times New Roman" w:cs="Times New Roman"/>
          <w:sz w:val="24"/>
          <w:szCs w:val="24"/>
          <w:vertAlign w:val="subscript"/>
        </w:rPr>
        <w:t>Nmax</w:t>
      </w:r>
      <w:proofErr w:type="spellEnd"/>
      <w:r w:rsidRPr="00D02819">
        <w:rPr>
          <w:rFonts w:ascii="Times New Roman" w:eastAsia="Times New Roman" w:hAnsi="Times New Roman" w:cs="Times New Roman"/>
          <w:sz w:val="24"/>
          <w:szCs w:val="24"/>
        </w:rPr>
        <w:t xml:space="preserve"> – максимално възможната стойност на показател „Техническо предложение“, която се формира като сбор от максималните точки на всички </w:t>
      </w:r>
      <w:proofErr w:type="spellStart"/>
      <w:r w:rsidRPr="00D02819">
        <w:rPr>
          <w:rFonts w:ascii="Times New Roman" w:eastAsia="Times New Roman" w:hAnsi="Times New Roman" w:cs="Times New Roman"/>
          <w:sz w:val="24"/>
          <w:szCs w:val="24"/>
        </w:rPr>
        <w:t>подпоказатели</w:t>
      </w:r>
      <w:proofErr w:type="spellEnd"/>
      <w:r w:rsidRPr="00D02819">
        <w:rPr>
          <w:rFonts w:ascii="Times New Roman" w:eastAsia="Times New Roman" w:hAnsi="Times New Roman" w:cs="Times New Roman"/>
          <w:sz w:val="24"/>
          <w:szCs w:val="24"/>
        </w:rPr>
        <w:t xml:space="preserve"> (в случая – 20 точки).</w:t>
      </w:r>
    </w:p>
    <w:p w:rsidR="00D02819" w:rsidRDefault="00D02819" w:rsidP="00092BFC">
      <w:pPr>
        <w:tabs>
          <w:tab w:val="left" w:pos="993"/>
        </w:tabs>
        <w:suppressAutoHyphens/>
        <w:spacing w:after="0"/>
        <w:ind w:firstLine="709"/>
        <w:jc w:val="both"/>
        <w:rPr>
          <w:rFonts w:ascii="Times New Roman" w:eastAsia="Calibri" w:hAnsi="Times New Roman" w:cs="Times New Roman"/>
          <w:sz w:val="24"/>
          <w:szCs w:val="24"/>
        </w:rPr>
      </w:pPr>
    </w:p>
    <w:p w:rsidR="00D02819" w:rsidRPr="00F83E24" w:rsidRDefault="00D02819" w:rsidP="00092BFC">
      <w:pPr>
        <w:tabs>
          <w:tab w:val="left" w:pos="993"/>
        </w:tabs>
        <w:suppressAutoHyphens/>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Съгласно горепосочената формула, по показател ОТ участникът получава </w:t>
      </w:r>
      <w:r>
        <w:rPr>
          <w:rFonts w:ascii="Times New Roman" w:eastAsia="Calibri" w:hAnsi="Times New Roman" w:cs="Times New Roman"/>
          <w:b/>
          <w:sz w:val="24"/>
          <w:szCs w:val="24"/>
        </w:rPr>
        <w:t xml:space="preserve">50 </w:t>
      </w:r>
      <w:r w:rsidRPr="00F83E24">
        <w:rPr>
          <w:rFonts w:ascii="Times New Roman" w:eastAsia="Calibri" w:hAnsi="Times New Roman" w:cs="Times New Roman"/>
          <w:b/>
          <w:sz w:val="24"/>
          <w:szCs w:val="24"/>
        </w:rPr>
        <w:t>т.</w:t>
      </w:r>
    </w:p>
    <w:p w:rsidR="00D02819" w:rsidRDefault="00D02819" w:rsidP="00092BFC">
      <w:pPr>
        <w:tabs>
          <w:tab w:val="left" w:pos="993"/>
        </w:tabs>
        <w:suppressAutoHyphens/>
        <w:spacing w:after="0"/>
        <w:ind w:firstLine="709"/>
        <w:jc w:val="both"/>
        <w:rPr>
          <w:rFonts w:ascii="Times New Roman" w:eastAsia="Calibri" w:hAnsi="Times New Roman" w:cs="Times New Roman"/>
          <w:sz w:val="24"/>
          <w:szCs w:val="24"/>
        </w:rPr>
      </w:pPr>
    </w:p>
    <w:p w:rsidR="00211A22" w:rsidRPr="00211A22" w:rsidRDefault="00211A22" w:rsidP="00211A22">
      <w:pPr>
        <w:spacing w:after="160"/>
        <w:jc w:val="both"/>
        <w:rPr>
          <w:rFonts w:ascii="Times New Roman" w:eastAsia="Times New Roman" w:hAnsi="Times New Roman" w:cs="Times New Roman"/>
          <w:b/>
          <w:sz w:val="24"/>
          <w:szCs w:val="24"/>
        </w:rPr>
      </w:pPr>
      <w:r w:rsidRPr="00211A22">
        <w:rPr>
          <w:rFonts w:ascii="Times New Roman" w:eastAsia="Times New Roman" w:hAnsi="Times New Roman" w:cs="Times New Roman"/>
          <w:b/>
          <w:sz w:val="24"/>
          <w:szCs w:val="24"/>
        </w:rPr>
        <w:t xml:space="preserve">Участник: ОБЕДИНЕНИЕ ДЗЗД ЛОГИСТИКА РУСЕ </w:t>
      </w:r>
    </w:p>
    <w:p w:rsidR="0027168A" w:rsidRDefault="0027168A" w:rsidP="0027168A">
      <w:pPr>
        <w:spacing w:after="16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Участникът е представил Декларация по чл.33 ал. 4 от ЗОП (отм.), в която декларира, че </w:t>
      </w:r>
      <w:r w:rsidR="001651C3">
        <w:rPr>
          <w:rFonts w:ascii="Times New Roman" w:eastAsia="Times New Roman" w:hAnsi="Times New Roman" w:cs="Times New Roman"/>
          <w:b/>
          <w:sz w:val="24"/>
          <w:szCs w:val="24"/>
        </w:rPr>
        <w:t xml:space="preserve">информацията, съдържаща се в </w:t>
      </w:r>
      <w:r>
        <w:rPr>
          <w:rFonts w:ascii="Times New Roman" w:eastAsia="Times New Roman" w:hAnsi="Times New Roman" w:cs="Times New Roman"/>
          <w:b/>
          <w:sz w:val="24"/>
          <w:szCs w:val="24"/>
        </w:rPr>
        <w:t xml:space="preserve">Техническото му предложение, следва да се счита за конфиденциална, тъй като съдържа </w:t>
      </w:r>
      <w:r w:rsidR="009913FC">
        <w:rPr>
          <w:rFonts w:ascii="Times New Roman" w:eastAsia="Times New Roman" w:hAnsi="Times New Roman" w:cs="Times New Roman"/>
          <w:b/>
          <w:sz w:val="24"/>
          <w:szCs w:val="24"/>
        </w:rPr>
        <w:t>техни</w:t>
      </w:r>
      <w:r w:rsidR="00537C3F">
        <w:rPr>
          <w:rFonts w:ascii="Times New Roman" w:eastAsia="Times New Roman" w:hAnsi="Times New Roman" w:cs="Times New Roman"/>
          <w:b/>
          <w:sz w:val="24"/>
          <w:szCs w:val="24"/>
        </w:rPr>
        <w:t>чески</w:t>
      </w:r>
      <w:r>
        <w:rPr>
          <w:rFonts w:ascii="Times New Roman" w:eastAsia="Times New Roman" w:hAnsi="Times New Roman" w:cs="Times New Roman"/>
          <w:b/>
          <w:sz w:val="24"/>
          <w:szCs w:val="24"/>
        </w:rPr>
        <w:t xml:space="preserve"> тайни. Участникът не желае посочената информация да бъде разкривана от Възложителя, освен в предвидените от Закона случаи. </w:t>
      </w:r>
    </w:p>
    <w:p w:rsidR="0027168A" w:rsidRDefault="0027168A" w:rsidP="0027168A">
      <w:pPr>
        <w:spacing w:after="16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Член 33 ал.4 и ал.5 е неприложим по отношение на техническите параметри, които подлежат на оценки. Във връзка, с което комисията реши от техническото предложение на участника да бъде заличена само тази информация, която носи характера на иновативност, ноу-хау, новаторско решение за изпълнение или метод за изпълнение.</w:t>
      </w:r>
    </w:p>
    <w:p w:rsidR="0027168A" w:rsidRDefault="0027168A" w:rsidP="00211A22">
      <w:pPr>
        <w:spacing w:after="160"/>
        <w:jc w:val="both"/>
        <w:rPr>
          <w:rFonts w:ascii="Times New Roman" w:eastAsia="Times New Roman" w:hAnsi="Times New Roman" w:cs="Times New Roman"/>
          <w:b/>
          <w:sz w:val="24"/>
          <w:szCs w:val="24"/>
        </w:rPr>
      </w:pP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b/>
          <w:sz w:val="24"/>
          <w:szCs w:val="24"/>
        </w:rPr>
        <w:t>Кратко описание на техническото предложение:</w:t>
      </w:r>
      <w:r w:rsidRPr="00211A22">
        <w:rPr>
          <w:rFonts w:ascii="Times New Roman" w:eastAsia="Times New Roman" w:hAnsi="Times New Roman" w:cs="Times New Roman"/>
          <w:sz w:val="24"/>
          <w:szCs w:val="24"/>
        </w:rPr>
        <w:t xml:space="preserve"> Този участник е направил техническо предложение в рамките на 270 страници. Предложението съдържа задължителните елементи Обяснителна записка и Организация на работата. Обяснителната записка включва увод, законодателство, изискванията на Възложителя, Концепция за постигане целите на поръчката, Дейности за изпълнение на поръчката. Участникът е описал първия задължителен елемент на Обяснителната записка, а именно предложението си относно изпълнението на всяка от дейностите. Посочен е методът за изпълнение на съответната дейност, източниците на информация, очакваните резултати, приложимите нормативни изисквания, мерки за постигане високо качество, срокове, необходими ресурси и допълнителни дейности и </w:t>
      </w:r>
      <w:proofErr w:type="spellStart"/>
      <w:r w:rsidRPr="00211A22">
        <w:rPr>
          <w:rFonts w:ascii="Times New Roman" w:eastAsia="Times New Roman" w:hAnsi="Times New Roman" w:cs="Times New Roman"/>
          <w:sz w:val="24"/>
          <w:szCs w:val="24"/>
        </w:rPr>
        <w:t>поддейности</w:t>
      </w:r>
      <w:proofErr w:type="spellEnd"/>
      <w:r w:rsidRPr="00211A22">
        <w:rPr>
          <w:rFonts w:ascii="Times New Roman" w:eastAsia="Times New Roman" w:hAnsi="Times New Roman" w:cs="Times New Roman"/>
          <w:sz w:val="24"/>
          <w:szCs w:val="24"/>
        </w:rPr>
        <w:t xml:space="preserve">. Вторият задължителен елемент на Обяснителната записка Предложение относно управление на договора, включително процедури за контрол с цел качественото и навременно изпълнение на поръчката, включва описание на вътрешния контрол и подхода за управление и контрол, базиран на мониторинг, докладване и управление на риска. В частта Организация на работата участникът е описал задължителния елемент Предложение относно предвидената организация за изпълнение на работата, мобилизация и разпределение на предвидените ресурси. В началото на тази част от Техническото предложение участникът представя </w:t>
      </w:r>
      <w:r w:rsidR="00F5144B" w:rsidRPr="00F5144B">
        <w:rPr>
          <w:rFonts w:ascii="Times New Roman" w:eastAsia="Times New Roman" w:hAnsi="Times New Roman" w:cs="Times New Roman"/>
          <w:b/>
          <w:i/>
          <w:sz w:val="24"/>
          <w:szCs w:val="24"/>
        </w:rPr>
        <w:t>(заличена информация на основание чл. 33 ал. 4 от ЗОП /отм./)</w:t>
      </w:r>
      <w:r w:rsidRPr="00211A22">
        <w:rPr>
          <w:rFonts w:ascii="Times New Roman" w:eastAsia="Times New Roman" w:hAnsi="Times New Roman" w:cs="Times New Roman"/>
          <w:sz w:val="24"/>
          <w:szCs w:val="24"/>
        </w:rPr>
        <w:t xml:space="preserve"> подход като подход за организацията на работата. От стр.171 до стр.239 участникът представя дейностите, чиито номера не съответстват на номерата им в частта Обяснителна записка, като са описани по същите елементи, както в обяснителната записка, а именно - метод за </w:t>
      </w:r>
      <w:r w:rsidRPr="00211A22">
        <w:rPr>
          <w:rFonts w:ascii="Times New Roman" w:eastAsia="Times New Roman" w:hAnsi="Times New Roman" w:cs="Times New Roman"/>
          <w:sz w:val="24"/>
          <w:szCs w:val="24"/>
        </w:rPr>
        <w:lastRenderedPageBreak/>
        <w:t xml:space="preserve">изпълнение на съответната дейност, източниците на информация, очакваните резултати, приложимите нормативни изисквания, мерки за постигане високо качество, срокове, необходими ресурси. На стр. 239 участникът отново посочва подзаглавие „Организация на работата за изпълнение на поръчката“. В тази част от предложението участникът е представил резюме на дейностите и експертите, които ще участват в изпълнението на всяка от тях. В друга таблица са посочени наименованията на дейностите и експертите, които ще участват в изпълнението им, като е посочен и срок за изпълнението им. От 249 до 268 страница са посочени задължения и отговорности на експертите при изпълнение на всяка от дейностите, допълнителните дейности и </w:t>
      </w:r>
      <w:proofErr w:type="spellStart"/>
      <w:r w:rsidRPr="00211A22">
        <w:rPr>
          <w:rFonts w:ascii="Times New Roman" w:eastAsia="Times New Roman" w:hAnsi="Times New Roman" w:cs="Times New Roman"/>
          <w:sz w:val="24"/>
          <w:szCs w:val="24"/>
        </w:rPr>
        <w:t>поддейности</w:t>
      </w:r>
      <w:proofErr w:type="spellEnd"/>
      <w:r w:rsidRPr="00211A22">
        <w:rPr>
          <w:rFonts w:ascii="Times New Roman" w:eastAsia="Times New Roman" w:hAnsi="Times New Roman" w:cs="Times New Roman"/>
          <w:sz w:val="24"/>
          <w:szCs w:val="24"/>
        </w:rPr>
        <w:t>. Последните две страници съдържат график за заетостта на експертите по всяка от дейностите и текст към него.</w:t>
      </w:r>
    </w:p>
    <w:p w:rsidR="00211A22" w:rsidRPr="00211A22" w:rsidRDefault="00211A22" w:rsidP="00211A22">
      <w:pPr>
        <w:spacing w:after="160"/>
        <w:jc w:val="both"/>
        <w:rPr>
          <w:rFonts w:ascii="Times New Roman" w:eastAsia="Times New Roman" w:hAnsi="Times New Roman" w:cs="Times New Roman"/>
          <w:b/>
          <w:sz w:val="24"/>
          <w:szCs w:val="24"/>
        </w:rPr>
      </w:pPr>
      <w:r w:rsidRPr="00211A22">
        <w:rPr>
          <w:rFonts w:ascii="Times New Roman" w:eastAsia="Times New Roman" w:hAnsi="Times New Roman" w:cs="Times New Roman"/>
          <w:b/>
          <w:sz w:val="24"/>
          <w:szCs w:val="24"/>
        </w:rPr>
        <w:t>– обща оценка по показател „Техническо предложение“: 2</w:t>
      </w:r>
    </w:p>
    <w:tbl>
      <w:tblPr>
        <w:tblW w:w="9782" w:type="dxa"/>
        <w:tblInd w:w="-244" w:type="dxa"/>
        <w:tblLayout w:type="fixed"/>
        <w:tblCellMar>
          <w:left w:w="40" w:type="dxa"/>
          <w:right w:w="40" w:type="dxa"/>
        </w:tblCellMar>
        <w:tblLook w:val="0000" w:firstRow="0" w:lastRow="0" w:firstColumn="0" w:lastColumn="0" w:noHBand="0" w:noVBand="0"/>
      </w:tblPr>
      <w:tblGrid>
        <w:gridCol w:w="1985"/>
        <w:gridCol w:w="851"/>
        <w:gridCol w:w="5101"/>
        <w:gridCol w:w="1845"/>
      </w:tblGrid>
      <w:tr w:rsidR="00211A22" w:rsidRPr="00211A22" w:rsidTr="007B1659">
        <w:tc>
          <w:tcPr>
            <w:tcW w:w="7937" w:type="dxa"/>
            <w:gridSpan w:val="3"/>
            <w:tcBorders>
              <w:top w:val="single" w:sz="6" w:space="0" w:color="auto"/>
              <w:left w:val="single" w:sz="6" w:space="0" w:color="auto"/>
              <w:bottom w:val="single" w:sz="6" w:space="0" w:color="auto"/>
              <w:right w:val="nil"/>
            </w:tcBorders>
          </w:tcPr>
          <w:p w:rsidR="00211A22" w:rsidRPr="00211A22" w:rsidRDefault="00211A22" w:rsidP="00211A22">
            <w:pPr>
              <w:spacing w:after="160"/>
              <w:jc w:val="both"/>
              <w:rPr>
                <w:rFonts w:ascii="Times New Roman" w:eastAsia="Times New Roman" w:hAnsi="Times New Roman" w:cs="Times New Roman"/>
                <w:b/>
                <w:bCs/>
                <w:sz w:val="24"/>
                <w:szCs w:val="24"/>
              </w:rPr>
            </w:pPr>
            <w:r w:rsidRPr="00211A22">
              <w:rPr>
                <w:rFonts w:ascii="Times New Roman" w:eastAsia="Times New Roman" w:hAnsi="Times New Roman" w:cs="Times New Roman"/>
                <w:b/>
                <w:sz w:val="24"/>
                <w:szCs w:val="24"/>
              </w:rPr>
              <w:t>Начин на формиране оценката по елементи на показателя „качество“:</w:t>
            </w:r>
          </w:p>
        </w:tc>
        <w:tc>
          <w:tcPr>
            <w:tcW w:w="1845" w:type="dxa"/>
            <w:tcBorders>
              <w:top w:val="single" w:sz="6" w:space="0" w:color="auto"/>
              <w:left w:val="nil"/>
              <w:bottom w:val="single" w:sz="6" w:space="0" w:color="auto"/>
              <w:right w:val="single" w:sz="6" w:space="0" w:color="auto"/>
            </w:tcBorders>
          </w:tcPr>
          <w:p w:rsidR="00211A22" w:rsidRPr="00211A22" w:rsidRDefault="00211A22" w:rsidP="00211A22">
            <w:pPr>
              <w:spacing w:after="160"/>
              <w:jc w:val="both"/>
              <w:rPr>
                <w:rFonts w:ascii="Times New Roman" w:eastAsia="Times New Roman" w:hAnsi="Times New Roman" w:cs="Times New Roman"/>
                <w:sz w:val="24"/>
                <w:szCs w:val="24"/>
              </w:rPr>
            </w:pPr>
          </w:p>
        </w:tc>
      </w:tr>
      <w:tr w:rsidR="00211A22" w:rsidRPr="00211A22" w:rsidTr="007B1659">
        <w:trPr>
          <w:cantSplit/>
          <w:trHeight w:val="1058"/>
        </w:trPr>
        <w:tc>
          <w:tcPr>
            <w:tcW w:w="1985" w:type="dxa"/>
            <w:tcBorders>
              <w:top w:val="single" w:sz="6" w:space="0" w:color="auto"/>
              <w:left w:val="single" w:sz="6" w:space="0" w:color="auto"/>
              <w:bottom w:val="single" w:sz="6" w:space="0" w:color="auto"/>
              <w:right w:val="single" w:sz="6" w:space="0" w:color="auto"/>
            </w:tcBorders>
          </w:tcPr>
          <w:p w:rsidR="00211A22" w:rsidRPr="00211A22" w:rsidRDefault="00211A22" w:rsidP="00211A22">
            <w:pPr>
              <w:spacing w:after="160"/>
              <w:jc w:val="both"/>
              <w:rPr>
                <w:rFonts w:ascii="Times New Roman" w:eastAsia="Times New Roman" w:hAnsi="Times New Roman" w:cs="Times New Roman"/>
                <w:b/>
                <w:bCs/>
                <w:sz w:val="24"/>
                <w:szCs w:val="24"/>
              </w:rPr>
            </w:pPr>
          </w:p>
          <w:p w:rsidR="00211A22" w:rsidRPr="00211A22" w:rsidRDefault="00211A22" w:rsidP="00211A22">
            <w:pPr>
              <w:spacing w:after="160"/>
              <w:jc w:val="both"/>
              <w:rPr>
                <w:rFonts w:ascii="Times New Roman" w:eastAsia="Times New Roman" w:hAnsi="Times New Roman" w:cs="Times New Roman"/>
                <w:b/>
                <w:bCs/>
                <w:sz w:val="24"/>
                <w:szCs w:val="24"/>
              </w:rPr>
            </w:pPr>
            <w:r w:rsidRPr="00211A22">
              <w:rPr>
                <w:rFonts w:ascii="Times New Roman" w:eastAsia="Times New Roman" w:hAnsi="Times New Roman" w:cs="Times New Roman"/>
                <w:b/>
                <w:bCs/>
                <w:sz w:val="24"/>
                <w:szCs w:val="24"/>
              </w:rPr>
              <w:t>Показател</w:t>
            </w:r>
          </w:p>
        </w:tc>
        <w:tc>
          <w:tcPr>
            <w:tcW w:w="851" w:type="dxa"/>
            <w:tcBorders>
              <w:top w:val="single" w:sz="6" w:space="0" w:color="auto"/>
              <w:left w:val="single" w:sz="6" w:space="0" w:color="auto"/>
              <w:bottom w:val="single" w:sz="6" w:space="0" w:color="auto"/>
              <w:right w:val="single" w:sz="6" w:space="0" w:color="auto"/>
            </w:tcBorders>
            <w:vAlign w:val="center"/>
          </w:tcPr>
          <w:p w:rsidR="00211A22" w:rsidRPr="00211A22" w:rsidRDefault="00211A22" w:rsidP="00211A22">
            <w:pPr>
              <w:spacing w:after="160"/>
              <w:jc w:val="both"/>
              <w:rPr>
                <w:rFonts w:ascii="Times New Roman" w:eastAsia="Times New Roman" w:hAnsi="Times New Roman" w:cs="Times New Roman"/>
                <w:b/>
                <w:bCs/>
                <w:sz w:val="24"/>
                <w:szCs w:val="24"/>
              </w:rPr>
            </w:pPr>
            <w:r w:rsidRPr="00211A22">
              <w:rPr>
                <w:rFonts w:ascii="Times New Roman" w:eastAsia="Times New Roman" w:hAnsi="Times New Roman" w:cs="Times New Roman"/>
                <w:b/>
                <w:bCs/>
                <w:sz w:val="24"/>
                <w:szCs w:val="24"/>
              </w:rPr>
              <w:t>Точки</w:t>
            </w:r>
          </w:p>
        </w:tc>
        <w:tc>
          <w:tcPr>
            <w:tcW w:w="5101" w:type="dxa"/>
            <w:tcBorders>
              <w:top w:val="single" w:sz="6" w:space="0" w:color="auto"/>
              <w:left w:val="single" w:sz="6" w:space="0" w:color="auto"/>
              <w:bottom w:val="single" w:sz="6" w:space="0" w:color="auto"/>
              <w:right w:val="nil"/>
            </w:tcBorders>
          </w:tcPr>
          <w:p w:rsidR="00211A22" w:rsidRPr="00211A22" w:rsidRDefault="00211A22" w:rsidP="00211A22">
            <w:pPr>
              <w:spacing w:after="160"/>
              <w:jc w:val="both"/>
              <w:rPr>
                <w:rFonts w:ascii="Times New Roman" w:eastAsia="Times New Roman" w:hAnsi="Times New Roman" w:cs="Times New Roman"/>
                <w:b/>
                <w:bCs/>
                <w:sz w:val="24"/>
                <w:szCs w:val="24"/>
              </w:rPr>
            </w:pPr>
          </w:p>
          <w:p w:rsidR="00211A22" w:rsidRPr="00211A22" w:rsidRDefault="00211A22" w:rsidP="00211A22">
            <w:pPr>
              <w:spacing w:after="160"/>
              <w:jc w:val="both"/>
              <w:rPr>
                <w:rFonts w:ascii="Times New Roman" w:eastAsia="Times New Roman" w:hAnsi="Times New Roman" w:cs="Times New Roman"/>
                <w:b/>
                <w:bCs/>
                <w:sz w:val="24"/>
                <w:szCs w:val="24"/>
              </w:rPr>
            </w:pPr>
            <w:r w:rsidRPr="00211A22">
              <w:rPr>
                <w:rFonts w:ascii="Times New Roman" w:eastAsia="Times New Roman" w:hAnsi="Times New Roman" w:cs="Times New Roman"/>
                <w:b/>
                <w:bCs/>
                <w:sz w:val="24"/>
                <w:szCs w:val="24"/>
              </w:rPr>
              <w:t>Мотиви за поставените оценки</w:t>
            </w:r>
          </w:p>
        </w:tc>
        <w:tc>
          <w:tcPr>
            <w:tcW w:w="1845" w:type="dxa"/>
            <w:tcBorders>
              <w:top w:val="single" w:sz="6" w:space="0" w:color="auto"/>
              <w:left w:val="nil"/>
              <w:bottom w:val="single" w:sz="6" w:space="0" w:color="auto"/>
              <w:right w:val="single" w:sz="6" w:space="0" w:color="auto"/>
            </w:tcBorders>
          </w:tcPr>
          <w:p w:rsidR="00211A22" w:rsidRPr="00211A22" w:rsidRDefault="00211A22" w:rsidP="00211A22">
            <w:pPr>
              <w:spacing w:after="160"/>
              <w:jc w:val="both"/>
              <w:rPr>
                <w:rFonts w:ascii="Times New Roman" w:eastAsia="Times New Roman" w:hAnsi="Times New Roman" w:cs="Times New Roman"/>
                <w:sz w:val="24"/>
                <w:szCs w:val="24"/>
              </w:rPr>
            </w:pPr>
          </w:p>
        </w:tc>
      </w:tr>
      <w:tr w:rsidR="00211A22" w:rsidRPr="00211A22" w:rsidTr="007B1659">
        <w:tc>
          <w:tcPr>
            <w:tcW w:w="1985" w:type="dxa"/>
            <w:tcBorders>
              <w:top w:val="single" w:sz="6" w:space="0" w:color="auto"/>
              <w:left w:val="single" w:sz="6" w:space="0" w:color="auto"/>
              <w:bottom w:val="single" w:sz="6" w:space="0" w:color="auto"/>
              <w:right w:val="single" w:sz="6" w:space="0" w:color="auto"/>
            </w:tcBorders>
          </w:tcPr>
          <w:p w:rsidR="00211A22" w:rsidRPr="00211A22" w:rsidRDefault="00211A22" w:rsidP="00211A22">
            <w:pPr>
              <w:spacing w:after="160"/>
              <w:jc w:val="both"/>
              <w:rPr>
                <w:rFonts w:ascii="Times New Roman" w:eastAsia="Times New Roman" w:hAnsi="Times New Roman" w:cs="Times New Roman"/>
                <w:i/>
                <w:sz w:val="24"/>
                <w:szCs w:val="24"/>
              </w:rPr>
            </w:pPr>
            <w:r w:rsidRPr="00211A22">
              <w:rPr>
                <w:rFonts w:ascii="Times New Roman" w:eastAsia="Times New Roman" w:hAnsi="Times New Roman" w:cs="Times New Roman"/>
                <w:i/>
                <w:sz w:val="24"/>
                <w:szCs w:val="24"/>
              </w:rPr>
              <w:t>І. Обяснителна записка</w:t>
            </w:r>
          </w:p>
        </w:tc>
        <w:tc>
          <w:tcPr>
            <w:tcW w:w="851" w:type="dxa"/>
            <w:tcBorders>
              <w:top w:val="single" w:sz="6" w:space="0" w:color="auto"/>
              <w:left w:val="single" w:sz="6" w:space="0" w:color="auto"/>
              <w:bottom w:val="single" w:sz="6" w:space="0" w:color="auto"/>
              <w:right w:val="single" w:sz="6" w:space="0" w:color="auto"/>
            </w:tcBorders>
          </w:tcPr>
          <w:p w:rsidR="00211A22" w:rsidRPr="00211A22" w:rsidRDefault="00211A22" w:rsidP="00211A22">
            <w:pPr>
              <w:spacing w:after="160"/>
              <w:jc w:val="center"/>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1</w:t>
            </w:r>
          </w:p>
        </w:tc>
        <w:tc>
          <w:tcPr>
            <w:tcW w:w="6946" w:type="dxa"/>
            <w:gridSpan w:val="2"/>
            <w:tcBorders>
              <w:top w:val="single" w:sz="6" w:space="0" w:color="auto"/>
              <w:left w:val="single" w:sz="6" w:space="0" w:color="auto"/>
              <w:bottom w:val="single" w:sz="6" w:space="0" w:color="auto"/>
              <w:right w:val="single" w:sz="6" w:space="0" w:color="auto"/>
            </w:tcBorders>
          </w:tcPr>
          <w:p w:rsidR="00211A22" w:rsidRPr="00211A22" w:rsidRDefault="00211A22" w:rsidP="00211A22">
            <w:pPr>
              <w:spacing w:after="0"/>
              <w:ind w:firstLine="425"/>
              <w:jc w:val="both"/>
              <w:rPr>
                <w:rFonts w:ascii="Times New Roman" w:eastAsia="Calibri" w:hAnsi="Times New Roman" w:cs="Times New Roman"/>
                <w:sz w:val="24"/>
                <w:szCs w:val="24"/>
              </w:rPr>
            </w:pPr>
            <w:r w:rsidRPr="00211A22">
              <w:rPr>
                <w:rFonts w:ascii="Times New Roman" w:eastAsia="Times New Roman" w:hAnsi="Times New Roman" w:cs="Times New Roman"/>
                <w:sz w:val="24"/>
                <w:szCs w:val="24"/>
              </w:rPr>
              <w:t xml:space="preserve">Предложението на участника в тази част отговаря на  указанията за разработване на Обяснителната записка, на изискванията на възложителя, на действащото законодателство, на действащите норми и стандарти и е съобразено с предмета на поръчката, но не е ясно и конкретно </w:t>
            </w:r>
            <w:r w:rsidRPr="00211A22">
              <w:rPr>
                <w:rFonts w:ascii="Times New Roman" w:eastAsia="Calibri" w:hAnsi="Times New Roman" w:cs="Times New Roman"/>
                <w:sz w:val="24"/>
                <w:szCs w:val="24"/>
              </w:rPr>
              <w:t>според мотивите на оценителната комисия и направените констатации след прегледа на техническите предложения по отношение на:</w:t>
            </w:r>
          </w:p>
          <w:p w:rsidR="00211A22" w:rsidRPr="00211A22" w:rsidRDefault="00211A22" w:rsidP="00211A22">
            <w:pPr>
              <w:numPr>
                <w:ilvl w:val="0"/>
                <w:numId w:val="31"/>
              </w:numPr>
              <w:spacing w:after="0"/>
              <w:jc w:val="both"/>
              <w:rPr>
                <w:rFonts w:ascii="Times New Roman" w:eastAsia="Calibri" w:hAnsi="Times New Roman" w:cs="Times New Roman"/>
                <w:sz w:val="24"/>
                <w:szCs w:val="24"/>
              </w:rPr>
            </w:pPr>
            <w:r w:rsidRPr="00211A22">
              <w:rPr>
                <w:rFonts w:ascii="Times New Roman" w:eastAsia="Calibri" w:hAnsi="Times New Roman" w:cs="Times New Roman"/>
                <w:sz w:val="24"/>
                <w:szCs w:val="24"/>
              </w:rPr>
              <w:t>предложението за изпълнение на една или повече от дейностите, които са предвидени за изпълнение в техническата спецификация, в т.ч. бъдещите действия на участника във връзка с тези дейности, ако бъде избран за изпълнител и/или</w:t>
            </w:r>
          </w:p>
          <w:p w:rsidR="00211A22" w:rsidRPr="00211A22" w:rsidRDefault="00211A22" w:rsidP="00211A22">
            <w:pPr>
              <w:spacing w:after="160"/>
              <w:jc w:val="both"/>
              <w:rPr>
                <w:rFonts w:ascii="Times New Roman" w:eastAsia="Times New Roman" w:hAnsi="Times New Roman" w:cs="Times New Roman"/>
                <w:sz w:val="24"/>
                <w:szCs w:val="24"/>
              </w:rPr>
            </w:pPr>
          </w:p>
          <w:p w:rsidR="00211A22" w:rsidRPr="00211A22" w:rsidRDefault="00211A22" w:rsidP="00211A22">
            <w:pPr>
              <w:numPr>
                <w:ilvl w:val="0"/>
                <w:numId w:val="29"/>
              </w:num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Предложение за изпълнение на дейностите:</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При описанието на дейност 1, участникът е цитирал дословно нормативните документи, без да представя допълнителни поясняващи предложението текстове, детайлна информация, свързани с конкретните изисквания към съдържанието на компонентите на техническото предложение, техния конкретен обхват, и аспекти, зададени от документацията за възлагане, а именно:</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Дословно повторение на текста от документацията за обществената поръчка.</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 xml:space="preserve">Дословно пренесени текстове от Насоките за кандидатстване по </w:t>
            </w:r>
            <w:r w:rsidRPr="00211A22">
              <w:rPr>
                <w:rFonts w:ascii="Times New Roman" w:eastAsia="Times New Roman" w:hAnsi="Times New Roman" w:cs="Times New Roman"/>
                <w:sz w:val="24"/>
                <w:szCs w:val="24"/>
              </w:rPr>
              <w:lastRenderedPageBreak/>
              <w:t>процедура BG16M10P00292-001 и Извадка от Наредба 4.</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 xml:space="preserve">Текстове, дословно заимствани от Ръководството за подготовка на проекти в сектор Отпадъци на МОСВ, ОПОС 2007-2013, раздели 5.1, 5.2.1, 5.2.2, 5.2.3, 5.2.5, 5.3 </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 xml:space="preserve">Текстовете, свързани с описание на начина на изпълнение на Дейност 1, са до такава степен от общ характер и лишени от специфика спрямо настоящата поръчка, че биха могли да се приложат към широк спектър от обществени поръчки и същевременно не убеждават, че изпълнителят се е постарал да разбере спецификата на настоящата поръчка. </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 xml:space="preserve">Неадекватна допълнително предложена </w:t>
            </w:r>
            <w:proofErr w:type="spellStart"/>
            <w:r w:rsidRPr="00211A22">
              <w:rPr>
                <w:rFonts w:ascii="Times New Roman" w:eastAsia="Times New Roman" w:hAnsi="Times New Roman" w:cs="Times New Roman"/>
                <w:sz w:val="24"/>
                <w:szCs w:val="24"/>
              </w:rPr>
              <w:t>поддейност</w:t>
            </w:r>
            <w:proofErr w:type="spellEnd"/>
            <w:r w:rsidRPr="00211A22">
              <w:rPr>
                <w:rFonts w:ascii="Times New Roman" w:eastAsia="Times New Roman" w:hAnsi="Times New Roman" w:cs="Times New Roman"/>
                <w:sz w:val="24"/>
                <w:szCs w:val="24"/>
              </w:rPr>
              <w:t xml:space="preserve"> </w:t>
            </w:r>
            <w:r w:rsidR="006A5C8D" w:rsidRPr="006A5C8D">
              <w:rPr>
                <w:rFonts w:ascii="Times New Roman" w:eastAsia="Times New Roman" w:hAnsi="Times New Roman" w:cs="Times New Roman"/>
                <w:b/>
                <w:i/>
                <w:sz w:val="24"/>
                <w:szCs w:val="24"/>
              </w:rPr>
              <w:t xml:space="preserve">(заличена информация на основание чл. 33 ал. 4 от ЗОП /отм./) </w:t>
            </w:r>
            <w:r w:rsidRPr="00211A22">
              <w:rPr>
                <w:rFonts w:ascii="Times New Roman" w:eastAsia="Times New Roman" w:hAnsi="Times New Roman" w:cs="Times New Roman"/>
                <w:sz w:val="24"/>
                <w:szCs w:val="24"/>
              </w:rPr>
              <w:t>без аргументация относно необходимостта й за постигане на целите, посочени в техническата спецификация.</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Предложение за изпълнение на допълнителна дейност, неточно посочена в техническото предложение като „дейност 2“ на стр.31, без аргументация относно необходимостта й за постигане на целите, посочени в техническата спецификация. Освен това е нелогично срокът за изпълнение на тази под-дейност (35 дни) да е по-дълъг от изпълнението на основната Дейност 1 (20 дни)</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Предложена е допълнителна под-дейност „</w:t>
            </w:r>
            <w:r w:rsidR="006A5C8D" w:rsidRPr="006A5C8D">
              <w:rPr>
                <w:rFonts w:ascii="Times New Roman" w:eastAsia="Times New Roman" w:hAnsi="Times New Roman" w:cs="Times New Roman"/>
                <w:b/>
                <w:i/>
                <w:sz w:val="24"/>
                <w:szCs w:val="24"/>
              </w:rPr>
              <w:t>(заличена информация на основание чл. 33 ал. 4 от ЗОП /отм./).</w:t>
            </w:r>
            <w:r w:rsidRPr="00211A22">
              <w:rPr>
                <w:rFonts w:ascii="Times New Roman" w:eastAsia="Times New Roman" w:hAnsi="Times New Roman" w:cs="Times New Roman"/>
                <w:sz w:val="24"/>
                <w:szCs w:val="24"/>
              </w:rPr>
              <w:t xml:space="preserve"> Цитирана е Методиката за определяне на морфологичния състав на отпадъците на МОСВ, текстовете са изцяло заимствани от Методиката. Анализът на инфраструктурата за управление на отпадъците е част от Общинската програма за управление на отпадъците, съгласно нормативните изисквания, а участникът не е аргументирал изпълнението й като допълнителна </w:t>
            </w:r>
            <w:proofErr w:type="spellStart"/>
            <w:r w:rsidRPr="00211A22">
              <w:rPr>
                <w:rFonts w:ascii="Times New Roman" w:eastAsia="Times New Roman" w:hAnsi="Times New Roman" w:cs="Times New Roman"/>
                <w:sz w:val="24"/>
                <w:szCs w:val="24"/>
              </w:rPr>
              <w:t>поддейност</w:t>
            </w:r>
            <w:proofErr w:type="spellEnd"/>
            <w:r w:rsidRPr="00211A22">
              <w:rPr>
                <w:rFonts w:ascii="Times New Roman" w:eastAsia="Times New Roman" w:hAnsi="Times New Roman" w:cs="Times New Roman"/>
                <w:sz w:val="24"/>
                <w:szCs w:val="24"/>
              </w:rPr>
              <w:t xml:space="preserve"> към настоящата поръчка.</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При описание изпълнението на дейност 2, участникът дословно е копирал текста от ТС, поради което изпълнението на дейността не е подробно и конкретно. Както и при дейност 1, участникът е посочил неадекватни методи за изпълнение. Цитирани са Насоките, пренесени са цели извлечения от текстовете на Наредба 7 и Наредба 6. Направено е повторение на текста от насоките за допустимите инсталации за финансиране. Текстовете относно подготовка на ПУП са дословни цитати на ЗУТ, без да допълнително да са дадени пояснения относно връзката с конкретния обхват на поръчката. Посочени са приложимите нормативни документи и мерки за качество.</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lastRenderedPageBreak/>
              <w:t xml:space="preserve">При описание на </w:t>
            </w:r>
            <w:proofErr w:type="spellStart"/>
            <w:r w:rsidRPr="00211A22">
              <w:rPr>
                <w:rFonts w:ascii="Times New Roman" w:eastAsia="Times New Roman" w:hAnsi="Times New Roman" w:cs="Times New Roman"/>
                <w:sz w:val="24"/>
                <w:szCs w:val="24"/>
              </w:rPr>
              <w:t>поддейност</w:t>
            </w:r>
            <w:proofErr w:type="spellEnd"/>
            <w:r w:rsidRPr="00211A22">
              <w:rPr>
                <w:rFonts w:ascii="Times New Roman" w:eastAsia="Times New Roman" w:hAnsi="Times New Roman" w:cs="Times New Roman"/>
                <w:sz w:val="24"/>
                <w:szCs w:val="24"/>
              </w:rPr>
              <w:t xml:space="preserve"> 2.2. Уведомление за инвестиционното предложение за преценяване на необходимостта от ОВОС дословно е пренесен текстът от ТС, като са посочени само текст във връзка с изготвяне и на уведомление по член 10, ал. 1 от Наредбата за условията и реда за извършване на оценка на съвместимостта и цитат от Наредбата, без да са дадени поясняващи текстове. Повтарят се метод, източници на информация, като БНБ се цитира навсякъде като източник. Представен е списък на приложимо законодателство. Дословно се повтарят мерки за високо качество, срокове, необходими ресурси без да са конкретизирани за съответната дейност.</w:t>
            </w:r>
          </w:p>
          <w:p w:rsidR="00211A22" w:rsidRPr="00211A22" w:rsidRDefault="00211A22" w:rsidP="00211A22">
            <w:pPr>
              <w:spacing w:after="160"/>
              <w:jc w:val="both"/>
              <w:rPr>
                <w:rFonts w:ascii="Times New Roman" w:eastAsia="Times New Roman" w:hAnsi="Times New Roman" w:cs="Times New Roman"/>
                <w:sz w:val="24"/>
                <w:szCs w:val="24"/>
              </w:rPr>
            </w:pPr>
            <w:proofErr w:type="spellStart"/>
            <w:r w:rsidRPr="00211A22">
              <w:rPr>
                <w:rFonts w:ascii="Times New Roman" w:eastAsia="Times New Roman" w:hAnsi="Times New Roman" w:cs="Times New Roman"/>
                <w:sz w:val="24"/>
                <w:szCs w:val="24"/>
              </w:rPr>
              <w:t>Поддейност</w:t>
            </w:r>
            <w:proofErr w:type="spellEnd"/>
            <w:r w:rsidRPr="00211A22">
              <w:rPr>
                <w:rFonts w:ascii="Times New Roman" w:eastAsia="Times New Roman" w:hAnsi="Times New Roman" w:cs="Times New Roman"/>
                <w:sz w:val="24"/>
                <w:szCs w:val="24"/>
              </w:rPr>
              <w:t xml:space="preserve"> 2.3. план за използване на получения краен продукт повтаря дословно текста от ТС, като посоченият метод е като по-горе, източници на информация – също, вкл. БНБ. списък на приложимото законодателство отново е същият. Повтарят се и останалите текстове за мерки за високо качество, срокове, необходими ресурси без да са конкретизирани за съответната дейност. Не става ясно какъв е предложеният подход за изпълнение на тази дейност, както и какви проучвания изпълнителят възнамерява да извърши за оползотворяване на крайния продукт.</w:t>
            </w:r>
          </w:p>
          <w:p w:rsidR="00211A22" w:rsidRPr="00211A22" w:rsidRDefault="00211A22" w:rsidP="00211A22">
            <w:pPr>
              <w:spacing w:after="160"/>
              <w:jc w:val="both"/>
              <w:rPr>
                <w:rFonts w:ascii="Times New Roman" w:eastAsia="Times New Roman" w:hAnsi="Times New Roman" w:cs="Times New Roman"/>
                <w:sz w:val="24"/>
                <w:szCs w:val="24"/>
              </w:rPr>
            </w:pPr>
            <w:proofErr w:type="spellStart"/>
            <w:r w:rsidRPr="00211A22">
              <w:rPr>
                <w:rFonts w:ascii="Times New Roman" w:eastAsia="Times New Roman" w:hAnsi="Times New Roman" w:cs="Times New Roman"/>
                <w:sz w:val="24"/>
                <w:szCs w:val="24"/>
              </w:rPr>
              <w:t>Поддейност</w:t>
            </w:r>
            <w:proofErr w:type="spellEnd"/>
            <w:r w:rsidRPr="00211A22">
              <w:rPr>
                <w:rFonts w:ascii="Times New Roman" w:eastAsia="Times New Roman" w:hAnsi="Times New Roman" w:cs="Times New Roman"/>
                <w:sz w:val="24"/>
                <w:szCs w:val="24"/>
              </w:rPr>
              <w:t xml:space="preserve"> 2.4 Схема за контрол на качеството на </w:t>
            </w:r>
            <w:proofErr w:type="spellStart"/>
            <w:r w:rsidRPr="00211A22">
              <w:rPr>
                <w:rFonts w:ascii="Times New Roman" w:eastAsia="Times New Roman" w:hAnsi="Times New Roman" w:cs="Times New Roman"/>
                <w:sz w:val="24"/>
                <w:szCs w:val="24"/>
              </w:rPr>
              <w:t>компоста</w:t>
            </w:r>
            <w:proofErr w:type="spellEnd"/>
            <w:r w:rsidRPr="00211A22">
              <w:rPr>
                <w:rFonts w:ascii="Times New Roman" w:eastAsia="Times New Roman" w:hAnsi="Times New Roman" w:cs="Times New Roman"/>
                <w:sz w:val="24"/>
                <w:szCs w:val="24"/>
              </w:rPr>
              <w:t>;</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 xml:space="preserve">Повторение на текста от ТС. Следват текстове дословно заимствани от Предложен модел за прилагане на разделно събиране и </w:t>
            </w:r>
            <w:proofErr w:type="spellStart"/>
            <w:r w:rsidRPr="00211A22">
              <w:rPr>
                <w:rFonts w:ascii="Times New Roman" w:eastAsia="Times New Roman" w:hAnsi="Times New Roman" w:cs="Times New Roman"/>
                <w:sz w:val="24"/>
                <w:szCs w:val="24"/>
              </w:rPr>
              <w:t>компостиране</w:t>
            </w:r>
            <w:proofErr w:type="spellEnd"/>
            <w:r w:rsidRPr="00211A22">
              <w:rPr>
                <w:rFonts w:ascii="Times New Roman" w:eastAsia="Times New Roman" w:hAnsi="Times New Roman" w:cs="Times New Roman"/>
                <w:sz w:val="24"/>
                <w:szCs w:val="24"/>
              </w:rPr>
              <w:t xml:space="preserve"> на </w:t>
            </w:r>
            <w:proofErr w:type="spellStart"/>
            <w:r w:rsidRPr="00211A22">
              <w:rPr>
                <w:rFonts w:ascii="Times New Roman" w:eastAsia="Times New Roman" w:hAnsi="Times New Roman" w:cs="Times New Roman"/>
                <w:sz w:val="24"/>
                <w:szCs w:val="24"/>
              </w:rPr>
              <w:t>биоотпадъци</w:t>
            </w:r>
            <w:proofErr w:type="spellEnd"/>
            <w:r w:rsidRPr="00211A22">
              <w:rPr>
                <w:rFonts w:ascii="Times New Roman" w:eastAsia="Times New Roman" w:hAnsi="Times New Roman" w:cs="Times New Roman"/>
                <w:sz w:val="24"/>
                <w:szCs w:val="24"/>
              </w:rPr>
              <w:t xml:space="preserve"> в регион за управление на отпадъците Севлиево. Източници на информация, както по-горе, вкл. БНБ. Списък на приложимото законодателство. Мерки за високо качество, срокове, необходими ресурси – повтарящи се текстове без конкретизиране.</w:t>
            </w:r>
          </w:p>
          <w:p w:rsidR="00211A22" w:rsidRPr="00211A22" w:rsidRDefault="00211A22" w:rsidP="00211A22">
            <w:pPr>
              <w:spacing w:after="160"/>
              <w:jc w:val="both"/>
              <w:rPr>
                <w:rFonts w:ascii="Times New Roman" w:eastAsia="Times New Roman" w:hAnsi="Times New Roman" w:cs="Times New Roman"/>
                <w:sz w:val="24"/>
                <w:szCs w:val="24"/>
              </w:rPr>
            </w:pPr>
            <w:proofErr w:type="spellStart"/>
            <w:r w:rsidRPr="00211A22">
              <w:rPr>
                <w:rFonts w:ascii="Times New Roman" w:eastAsia="Times New Roman" w:hAnsi="Times New Roman" w:cs="Times New Roman"/>
                <w:sz w:val="24"/>
                <w:szCs w:val="24"/>
              </w:rPr>
              <w:t>Поддейност</w:t>
            </w:r>
            <w:proofErr w:type="spellEnd"/>
            <w:r w:rsidRPr="00211A22">
              <w:rPr>
                <w:rFonts w:ascii="Times New Roman" w:eastAsia="Times New Roman" w:hAnsi="Times New Roman" w:cs="Times New Roman"/>
                <w:sz w:val="24"/>
                <w:szCs w:val="24"/>
              </w:rPr>
              <w:t xml:space="preserve"> 2.5 План за третиране на остатъчния отпадък - повторение на текста от ТС, неадекватен метод, както при всички останали дейности по-горе; посочват се цитати от Наредбата за третиране на отпадъците по отношение на </w:t>
            </w:r>
            <w:proofErr w:type="spellStart"/>
            <w:r w:rsidRPr="00211A22">
              <w:rPr>
                <w:rFonts w:ascii="Times New Roman" w:eastAsia="Times New Roman" w:hAnsi="Times New Roman" w:cs="Times New Roman"/>
                <w:sz w:val="24"/>
                <w:szCs w:val="24"/>
              </w:rPr>
              <w:t>компоста</w:t>
            </w:r>
            <w:proofErr w:type="spellEnd"/>
            <w:r w:rsidRPr="00211A22">
              <w:rPr>
                <w:rFonts w:ascii="Times New Roman" w:eastAsia="Times New Roman" w:hAnsi="Times New Roman" w:cs="Times New Roman"/>
                <w:sz w:val="24"/>
                <w:szCs w:val="24"/>
              </w:rPr>
              <w:t xml:space="preserve">, което е неадекватно, тъй като </w:t>
            </w:r>
            <w:proofErr w:type="spellStart"/>
            <w:r w:rsidRPr="00211A22">
              <w:rPr>
                <w:rFonts w:ascii="Times New Roman" w:eastAsia="Times New Roman" w:hAnsi="Times New Roman" w:cs="Times New Roman"/>
                <w:sz w:val="24"/>
                <w:szCs w:val="24"/>
              </w:rPr>
              <w:t>компостът</w:t>
            </w:r>
            <w:proofErr w:type="spellEnd"/>
            <w:r w:rsidRPr="00211A22">
              <w:rPr>
                <w:rFonts w:ascii="Times New Roman" w:eastAsia="Times New Roman" w:hAnsi="Times New Roman" w:cs="Times New Roman"/>
                <w:sz w:val="24"/>
                <w:szCs w:val="24"/>
              </w:rPr>
              <w:t xml:space="preserve"> е продукт, а не отпадък. Отново Повторение на текста от ТС; Източници на информация, както по-горе, </w:t>
            </w:r>
            <w:proofErr w:type="spellStart"/>
            <w:r w:rsidRPr="00211A22">
              <w:rPr>
                <w:rFonts w:ascii="Times New Roman" w:eastAsia="Times New Roman" w:hAnsi="Times New Roman" w:cs="Times New Roman"/>
                <w:sz w:val="24"/>
                <w:szCs w:val="24"/>
              </w:rPr>
              <w:t>вкл</w:t>
            </w:r>
            <w:proofErr w:type="spellEnd"/>
            <w:r w:rsidRPr="00211A22">
              <w:rPr>
                <w:rFonts w:ascii="Times New Roman" w:eastAsia="Times New Roman" w:hAnsi="Times New Roman" w:cs="Times New Roman"/>
                <w:sz w:val="24"/>
                <w:szCs w:val="24"/>
              </w:rPr>
              <w:t xml:space="preserve"> БНБ; Списък на приложимото законодателство; Мерки за високо качество, срокове, необходими ресурси – повтарящи се текстове без да са конкретни за специфичния обхват на поръчката.</w:t>
            </w:r>
          </w:p>
          <w:p w:rsidR="00211A22" w:rsidRPr="00211A22" w:rsidRDefault="00211A22" w:rsidP="00211A22">
            <w:pPr>
              <w:spacing w:after="160"/>
              <w:jc w:val="both"/>
              <w:rPr>
                <w:rFonts w:ascii="Times New Roman" w:eastAsia="Times New Roman" w:hAnsi="Times New Roman" w:cs="Times New Roman"/>
                <w:sz w:val="24"/>
                <w:szCs w:val="24"/>
              </w:rPr>
            </w:pPr>
            <w:proofErr w:type="spellStart"/>
            <w:r w:rsidRPr="00211A22">
              <w:rPr>
                <w:rFonts w:ascii="Times New Roman" w:eastAsia="Times New Roman" w:hAnsi="Times New Roman" w:cs="Times New Roman"/>
                <w:sz w:val="24"/>
                <w:szCs w:val="24"/>
              </w:rPr>
              <w:t>Поддейност</w:t>
            </w:r>
            <w:proofErr w:type="spellEnd"/>
            <w:r w:rsidRPr="00211A22">
              <w:rPr>
                <w:rFonts w:ascii="Times New Roman" w:eastAsia="Times New Roman" w:hAnsi="Times New Roman" w:cs="Times New Roman"/>
                <w:sz w:val="24"/>
                <w:szCs w:val="24"/>
              </w:rPr>
              <w:t xml:space="preserve"> 2.6. Индикативен опис на съоръженията. Повторение на текста от ТС; Следва описание, има проблем с форматирането, защото има по параграф на страница.</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lastRenderedPageBreak/>
              <w:t>Дейност 3 Финансов и/или икономически анализ на избраното решение/я</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 xml:space="preserve">Тук са включвани текстове от различни ръководства, по-стари и по-нови и има несъответствия, например цитирано е, че анализът трябва да бъде в постоянни цени, на </w:t>
            </w:r>
            <w:proofErr w:type="spellStart"/>
            <w:r w:rsidRPr="00211A22">
              <w:rPr>
                <w:rFonts w:ascii="Times New Roman" w:eastAsia="Times New Roman" w:hAnsi="Times New Roman" w:cs="Times New Roman"/>
                <w:sz w:val="24"/>
                <w:szCs w:val="24"/>
              </w:rPr>
              <w:t>стр</w:t>
            </w:r>
            <w:proofErr w:type="spellEnd"/>
            <w:r w:rsidRPr="00211A22">
              <w:rPr>
                <w:rFonts w:ascii="Times New Roman" w:eastAsia="Times New Roman" w:hAnsi="Times New Roman" w:cs="Times New Roman"/>
                <w:sz w:val="24"/>
                <w:szCs w:val="24"/>
              </w:rPr>
              <w:t xml:space="preserve"> 99, а също че трябват данни за инфлацията (ХИПЦ) – на стр. 97.</w:t>
            </w:r>
          </w:p>
          <w:p w:rsidR="00211A22" w:rsidRPr="00211A22" w:rsidRDefault="00211A22" w:rsidP="00211A22">
            <w:pPr>
              <w:spacing w:after="160"/>
              <w:jc w:val="both"/>
              <w:rPr>
                <w:rFonts w:ascii="Times New Roman" w:eastAsia="Times New Roman" w:hAnsi="Times New Roman" w:cs="Times New Roman"/>
                <w:sz w:val="24"/>
                <w:szCs w:val="24"/>
              </w:rPr>
            </w:pPr>
            <w:proofErr w:type="spellStart"/>
            <w:r w:rsidRPr="00211A22">
              <w:rPr>
                <w:rFonts w:ascii="Times New Roman" w:eastAsia="Times New Roman" w:hAnsi="Times New Roman" w:cs="Times New Roman"/>
                <w:sz w:val="24"/>
                <w:szCs w:val="24"/>
              </w:rPr>
              <w:t>Стр</w:t>
            </w:r>
            <w:proofErr w:type="spellEnd"/>
            <w:r w:rsidRPr="00211A22">
              <w:rPr>
                <w:rFonts w:ascii="Times New Roman" w:eastAsia="Times New Roman" w:hAnsi="Times New Roman" w:cs="Times New Roman"/>
                <w:sz w:val="24"/>
                <w:szCs w:val="24"/>
              </w:rPr>
              <w:t xml:space="preserve"> 99 В един и същи параграф е записано, че непредвидените разходи ще бъдат отчитани и че няма да бъдат отчитани, без да е дадено пояснение кога ще бъдат и кога няма да бъдат отчитани „Инвестиционни разходи: „Ще бъдат отчетени всички ..., непредвидени и тяхното очаквано разпределение по години. Непредвидените разходи няма да бъдат отчитани.“ </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 xml:space="preserve">Има текстове, които са двусмислени и неясни – </w:t>
            </w:r>
            <w:proofErr w:type="spellStart"/>
            <w:r w:rsidRPr="00211A22">
              <w:rPr>
                <w:rFonts w:ascii="Times New Roman" w:eastAsia="Times New Roman" w:hAnsi="Times New Roman" w:cs="Times New Roman"/>
                <w:sz w:val="24"/>
                <w:szCs w:val="24"/>
              </w:rPr>
              <w:t>стр</w:t>
            </w:r>
            <w:proofErr w:type="spellEnd"/>
            <w:r w:rsidRPr="00211A22">
              <w:rPr>
                <w:rFonts w:ascii="Times New Roman" w:eastAsia="Times New Roman" w:hAnsi="Times New Roman" w:cs="Times New Roman"/>
                <w:sz w:val="24"/>
                <w:szCs w:val="24"/>
              </w:rPr>
              <w:t xml:space="preserve"> 100 - Прогнозиране на приходите по проекта.  „… се цели възстановяване на капиталовите разходи и разходите за експлоатация и поддръжка, включително разходи за околна среда в пълен размер, а също така и разходите, свързани с допълнителни задължения, възложени от компетентните държавни органи.” Такива текстове и условия няма в нито един нормативен документ, в частност в цитирания преди това ЗМДТ. </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В тази част от техническото предложение се налага необходимостта от тълкуването му от страна на оценителната комисия.</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 xml:space="preserve">Не е ясно как теоретичните положения за инкременталния подход ще бъдат приложени на практика; не се споменава намаляване отчисленията при постигане на целите за </w:t>
            </w:r>
            <w:proofErr w:type="spellStart"/>
            <w:r w:rsidRPr="00211A22">
              <w:rPr>
                <w:rFonts w:ascii="Times New Roman" w:eastAsia="Times New Roman" w:hAnsi="Times New Roman" w:cs="Times New Roman"/>
                <w:sz w:val="24"/>
                <w:szCs w:val="24"/>
              </w:rPr>
              <w:t>биоразградимите</w:t>
            </w:r>
            <w:proofErr w:type="spellEnd"/>
            <w:r w:rsidRPr="00211A22">
              <w:rPr>
                <w:rFonts w:ascii="Times New Roman" w:eastAsia="Times New Roman" w:hAnsi="Times New Roman" w:cs="Times New Roman"/>
                <w:sz w:val="24"/>
                <w:szCs w:val="24"/>
              </w:rPr>
              <w:t xml:space="preserve"> отпадъци.</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От изложението не става ясно, че тази дейност зависи от параметрите заложени в идейния проект (Дейност 2). Всъщност заложеният срок за изпълнение на Дейност 3 (30 дни от подписване на договора) показва, че изпълнителят не отдава значимост на този факт, тъй като срокът за изпълнение на Дейност 2 е 40 дни от подписване на договора, т.е. ще завърши след приключване на финансовия и икономически анализ.</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При описание на Дейност 4 Правен анализ на</w:t>
            </w:r>
            <w:r w:rsidRPr="00211A22">
              <w:rPr>
                <w:rFonts w:ascii="Times New Roman" w:eastAsia="Calibri" w:hAnsi="Times New Roman" w:cs="Times New Roman"/>
                <w:sz w:val="24"/>
                <w:szCs w:val="24"/>
              </w:rPr>
              <w:t xml:space="preserve"> </w:t>
            </w:r>
            <w:r w:rsidRPr="00211A22">
              <w:rPr>
                <w:rFonts w:ascii="Times New Roman" w:eastAsia="Times New Roman" w:hAnsi="Times New Roman" w:cs="Times New Roman"/>
                <w:sz w:val="24"/>
                <w:szCs w:val="24"/>
              </w:rPr>
              <w:t xml:space="preserve">вариантите за съответстващо на правилата за държавни помощи възлагане на експлоатацията на </w:t>
            </w:r>
            <w:proofErr w:type="spellStart"/>
            <w:r w:rsidRPr="00211A22">
              <w:rPr>
                <w:rFonts w:ascii="Times New Roman" w:eastAsia="Times New Roman" w:hAnsi="Times New Roman" w:cs="Times New Roman"/>
                <w:sz w:val="24"/>
                <w:szCs w:val="24"/>
              </w:rPr>
              <w:t>компостиращата</w:t>
            </w:r>
            <w:proofErr w:type="spellEnd"/>
            <w:r w:rsidRPr="00211A22">
              <w:rPr>
                <w:rFonts w:ascii="Times New Roman" w:eastAsia="Times New Roman" w:hAnsi="Times New Roman" w:cs="Times New Roman"/>
                <w:sz w:val="24"/>
                <w:szCs w:val="24"/>
              </w:rPr>
              <w:t xml:space="preserve"> инсталация, участникът е изложил общите положения в нормативната уредба по отношение на държавните помощи под формата на компенсация. На места се забелязват неточности, като например на стр.112 е цитиран </w:t>
            </w:r>
            <w:r w:rsidRPr="00211A22">
              <w:rPr>
                <w:rFonts w:ascii="Times New Roman" w:eastAsia="Times New Roman" w:hAnsi="Times New Roman" w:cs="Times New Roman"/>
                <w:sz w:val="24"/>
                <w:szCs w:val="24"/>
              </w:rPr>
              <w:lastRenderedPageBreak/>
              <w:t xml:space="preserve">НИМХ във връзка с изпълнението на УОИИ. На стр.117-119 е описана съдебна практика. На стр. 120-121 са пренесени текстове от Насоките, в които са описани всички посочени варианти за възлагане експлоатацията на </w:t>
            </w:r>
            <w:proofErr w:type="spellStart"/>
            <w:r w:rsidRPr="00211A22">
              <w:rPr>
                <w:rFonts w:ascii="Times New Roman" w:eastAsia="Times New Roman" w:hAnsi="Times New Roman" w:cs="Times New Roman"/>
                <w:sz w:val="24"/>
                <w:szCs w:val="24"/>
              </w:rPr>
              <w:t>компостираща</w:t>
            </w:r>
            <w:proofErr w:type="spellEnd"/>
            <w:r w:rsidRPr="00211A22">
              <w:rPr>
                <w:rFonts w:ascii="Times New Roman" w:eastAsia="Times New Roman" w:hAnsi="Times New Roman" w:cs="Times New Roman"/>
                <w:sz w:val="24"/>
                <w:szCs w:val="24"/>
              </w:rPr>
              <w:t xml:space="preserve"> инсталация, като Участникът е изразил мнение относно характера им по отношение на държавните помощи предварително, преди да е изпълнил дейността по подготовка на правния анализ. В описанието липсва конкретика по отношение действията, които участникът предвижда за индивидуализиране на образците на УО на ОПОС. Този очакван резултат не е посочен от Участника.</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 xml:space="preserve">Дейност 5 е описана при спазване условията на Закона за обществените поръчки в сила до 14.04.2016г., въпреки, че при посочване на приложими нормативни документи на стр.129 </w:t>
            </w:r>
            <w:proofErr w:type="spellStart"/>
            <w:r w:rsidRPr="00211A22">
              <w:rPr>
                <w:rFonts w:ascii="Times New Roman" w:eastAsia="Times New Roman" w:hAnsi="Times New Roman" w:cs="Times New Roman"/>
                <w:sz w:val="24"/>
                <w:szCs w:val="24"/>
              </w:rPr>
              <w:t>уастникът</w:t>
            </w:r>
            <w:proofErr w:type="spellEnd"/>
            <w:r w:rsidRPr="00211A22">
              <w:rPr>
                <w:rFonts w:ascii="Times New Roman" w:eastAsia="Times New Roman" w:hAnsi="Times New Roman" w:cs="Times New Roman"/>
                <w:sz w:val="24"/>
                <w:szCs w:val="24"/>
              </w:rPr>
              <w:t xml:space="preserve"> е посочил, че към момента на подаване на офертата е валиден ЗОП в сила от 14.04.2016г., а в списъка – в сила от 15.04.2016г. Изложението относно изпълнението на дейността цитира общи положения по отношение значението на плана за обществени поръчки, но не дава информация относно действията на участника за изпълнение на дейността. Липсва всеобхватно представяне на всички аспекти на дейността. Мерките за осигуряване на качество по отношение на тази дейност не са конкретни, тъй като включват осигуряване на експерти по управление на отпадъци и подготовка на проектни предложения, без да е изрично посочено, че се изисква юридически опит например. Предложената допълнителна дейност не е адекватна за изпълнението на дейността по подготовка на обществените поръчки, тъй като включва съдействие при подготовка на документи по ЗООС и ЗБР за инвестиционното предложение и получаване на разрешителни. Тази част по-скоро описва допълнителни дейности към поръчката като цяло, които са описани като свързани с дейността по обществени поръчки. В нея се предлага и помощ при подготовка на Формуляр за кандидатстване, който не е допустим разход по програмата.</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Представено е предложение за управление изпълнението на договора, което отговаря на изискванията на Възложителя и включва мерки и дейности за упражняване на вътрешен контрол по време на изпълнението на договора, включително управление на риска.</w:t>
            </w:r>
          </w:p>
        </w:tc>
      </w:tr>
      <w:tr w:rsidR="00211A22" w:rsidRPr="00211A22" w:rsidTr="007B1659">
        <w:tc>
          <w:tcPr>
            <w:tcW w:w="1985" w:type="dxa"/>
            <w:tcBorders>
              <w:top w:val="single" w:sz="6" w:space="0" w:color="auto"/>
              <w:left w:val="single" w:sz="6" w:space="0" w:color="auto"/>
              <w:bottom w:val="single" w:sz="6" w:space="0" w:color="auto"/>
              <w:right w:val="single" w:sz="6" w:space="0" w:color="auto"/>
            </w:tcBorders>
          </w:tcPr>
          <w:p w:rsidR="00211A22" w:rsidRPr="00211A22" w:rsidRDefault="00211A22" w:rsidP="00211A22">
            <w:pPr>
              <w:spacing w:after="160"/>
              <w:jc w:val="both"/>
              <w:rPr>
                <w:rFonts w:ascii="Times New Roman" w:eastAsia="Times New Roman" w:hAnsi="Times New Roman" w:cs="Times New Roman"/>
                <w:i/>
                <w:sz w:val="24"/>
                <w:szCs w:val="24"/>
              </w:rPr>
            </w:pPr>
            <w:r w:rsidRPr="00211A22">
              <w:rPr>
                <w:rFonts w:ascii="Times New Roman" w:eastAsia="Times New Roman" w:hAnsi="Times New Roman" w:cs="Times New Roman"/>
                <w:i/>
                <w:sz w:val="24"/>
                <w:szCs w:val="24"/>
              </w:rPr>
              <w:lastRenderedPageBreak/>
              <w:t xml:space="preserve">ІІ. Организация на работата  </w:t>
            </w:r>
          </w:p>
        </w:tc>
        <w:tc>
          <w:tcPr>
            <w:tcW w:w="851" w:type="dxa"/>
            <w:tcBorders>
              <w:top w:val="single" w:sz="6" w:space="0" w:color="auto"/>
              <w:left w:val="single" w:sz="6" w:space="0" w:color="auto"/>
              <w:bottom w:val="single" w:sz="6" w:space="0" w:color="auto"/>
              <w:right w:val="single" w:sz="6" w:space="0" w:color="auto"/>
            </w:tcBorders>
          </w:tcPr>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1</w:t>
            </w:r>
          </w:p>
        </w:tc>
        <w:tc>
          <w:tcPr>
            <w:tcW w:w="6946" w:type="dxa"/>
            <w:gridSpan w:val="2"/>
            <w:tcBorders>
              <w:top w:val="single" w:sz="6" w:space="0" w:color="auto"/>
              <w:left w:val="single" w:sz="6" w:space="0" w:color="auto"/>
              <w:bottom w:val="single" w:sz="6" w:space="0" w:color="auto"/>
              <w:right w:val="single" w:sz="6" w:space="0" w:color="auto"/>
            </w:tcBorders>
          </w:tcPr>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 xml:space="preserve">Предложението на участника отговаря на указанията за попълване на Организацията на работата, на изискванията на възложителя, на действащото законодателство, на действащите норми и стандарти и са съобразени с предмета на поръчката, но не е ясно и </w:t>
            </w:r>
            <w:r w:rsidRPr="00211A22">
              <w:rPr>
                <w:rFonts w:ascii="Times New Roman" w:eastAsia="Times New Roman" w:hAnsi="Times New Roman" w:cs="Times New Roman"/>
                <w:sz w:val="24"/>
                <w:szCs w:val="24"/>
              </w:rPr>
              <w:lastRenderedPageBreak/>
              <w:t>конкретно според мотивите на оценителната комисия и направените констатации след прегледа на техническите предложения по отношение на:</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w:t>
            </w:r>
            <w:r w:rsidRPr="00211A22">
              <w:rPr>
                <w:rFonts w:ascii="Times New Roman" w:eastAsia="Times New Roman" w:hAnsi="Times New Roman" w:cs="Times New Roman"/>
                <w:sz w:val="24"/>
                <w:szCs w:val="24"/>
              </w:rPr>
              <w:tab/>
              <w:t>предложението за разпределението на задачите и отговорностите между експертите във връзка с изпълнение на предвидените в рамките на договора работи и/или отношенията и връзките на взаимодействие и субординация както между предлаганите експерти, така и в отношенията с Възложителя и останалите заинтересовани страни от изпълнението на договора.</w:t>
            </w:r>
          </w:p>
          <w:p w:rsidR="00211A22" w:rsidRPr="00211A22" w:rsidRDefault="00211A22" w:rsidP="00211A22">
            <w:pPr>
              <w:spacing w:after="160"/>
              <w:jc w:val="both"/>
              <w:rPr>
                <w:rFonts w:ascii="Times New Roman" w:eastAsia="Times New Roman" w:hAnsi="Times New Roman" w:cs="Times New Roman"/>
                <w:sz w:val="24"/>
                <w:szCs w:val="24"/>
              </w:rPr>
            </w:pP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Участникът е описал предложението си за организация на работата в две части - на стр. 169-238 и 239 до стр.270, като и двете части започват с „Организация на работата“.</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 xml:space="preserve">В първата част отново са описани дейностите, като има несъответствие между представянето на дейностите в част Организация на работата и част Обяснителна записка. Например, в част </w:t>
            </w:r>
            <w:r w:rsidRPr="00211A22">
              <w:rPr>
                <w:rFonts w:ascii="Times New Roman" w:eastAsia="Times New Roman" w:hAnsi="Times New Roman" w:cs="Times New Roman"/>
                <w:sz w:val="24"/>
                <w:szCs w:val="24"/>
                <w:lang w:val="en-US"/>
              </w:rPr>
              <w:t>II</w:t>
            </w:r>
            <w:r w:rsidRPr="00211A22">
              <w:rPr>
                <w:rFonts w:ascii="Times New Roman" w:eastAsia="Times New Roman" w:hAnsi="Times New Roman" w:cs="Times New Roman"/>
                <w:sz w:val="24"/>
                <w:szCs w:val="24"/>
              </w:rPr>
              <w:t xml:space="preserve"> Дейност 1 е Изготвени прогнози…, а Дейност 2 е Изготвяне на проучване за нагласите…, които се явяват под-дейности в част </w:t>
            </w:r>
            <w:r w:rsidRPr="00211A22">
              <w:rPr>
                <w:rFonts w:ascii="Times New Roman" w:eastAsia="Times New Roman" w:hAnsi="Times New Roman" w:cs="Times New Roman"/>
                <w:sz w:val="24"/>
                <w:szCs w:val="24"/>
                <w:lang w:val="en-US"/>
              </w:rPr>
              <w:t>I</w:t>
            </w:r>
            <w:r w:rsidRPr="00211A22">
              <w:rPr>
                <w:rFonts w:ascii="Times New Roman" w:eastAsia="Times New Roman" w:hAnsi="Times New Roman" w:cs="Times New Roman"/>
                <w:sz w:val="24"/>
                <w:szCs w:val="24"/>
              </w:rPr>
              <w:t>.</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 xml:space="preserve">Във втората част са описани експертите, които ще участват във всяка от предложените дейности, които са посочени срещу колона „Отговорности на експертите“. Тук номерацията е както в обяснителната записка. При описване задачите на отделните експерти се забелязват неадекватни за предмета на поръчката задачи, като например стр. 249 „оказва съдействие на Възложителя пред националните и европейските съдебни, одитни и контролни органи, включително на Сертифициращия орган по Структурните фондове и Кохезионния фонд……“, стр. 250 „Отговаря за съхранение и архивиране на документацията по отношение дейностите по проекта..“, „Подготвя необходимите доклади за напредък по изпълнение на проекта и ги предава на Ръководителя на проекта…“ Сред задачите на експерт „Държавни помощи“ са участие в изработването на ПИП, като „следи за спазване изискванията на Наредба 4“, по отношение План за получения краен продукт и План за третиране на остатъчния отпадък същият експерт има задача да „..анализира алтернативите за получения краен проект от гледна точка правилата за държавни помощи“. Сред задачите на всички експерти е повторен текст относно предоставяне на експертна помощ, съобразявайки се с … и са изброени нормативни документи от всякакво естество, които не са обвързани конкретно с дейностите, в изпълнението на които </w:t>
            </w:r>
            <w:r w:rsidRPr="00211A22">
              <w:rPr>
                <w:rFonts w:ascii="Times New Roman" w:eastAsia="Times New Roman" w:hAnsi="Times New Roman" w:cs="Times New Roman"/>
                <w:sz w:val="24"/>
                <w:szCs w:val="24"/>
              </w:rPr>
              <w:lastRenderedPageBreak/>
              <w:t>съответният експерт участва.</w:t>
            </w:r>
          </w:p>
          <w:p w:rsidR="00211A22" w:rsidRPr="00211A22" w:rsidRDefault="00211A22" w:rsidP="00211A22">
            <w:pPr>
              <w:spacing w:after="160"/>
              <w:jc w:val="both"/>
              <w:rPr>
                <w:rFonts w:ascii="Times New Roman" w:eastAsia="Times New Roman" w:hAnsi="Times New Roman" w:cs="Times New Roman"/>
                <w:sz w:val="24"/>
                <w:szCs w:val="24"/>
              </w:rPr>
            </w:pPr>
            <w:r w:rsidRPr="00211A22">
              <w:rPr>
                <w:rFonts w:ascii="Times New Roman" w:eastAsia="Times New Roman" w:hAnsi="Times New Roman" w:cs="Times New Roman"/>
                <w:sz w:val="24"/>
                <w:szCs w:val="24"/>
              </w:rPr>
              <w:t>Някои от представените срокове за изпълнение на дейностите (стр. 247-248) са нереалистични. Например, Дейност 3 е предвидена да бъде завършена в срок от 30 дни от подписване на договора. В същото време Дейност 2 следва да приключи в срок от 40 дни от подписване на договора. Въпреки че Дейност 3 да може да стартира на базата на информация от Дейност 1, първата следва да се завърши в пълен обхват въз основа на параметрите заложени в Идейния проект (дейност 2).</w:t>
            </w:r>
          </w:p>
          <w:p w:rsidR="00211A22" w:rsidRPr="00211A22" w:rsidRDefault="006A5C8D" w:rsidP="00211A22">
            <w:pPr>
              <w:spacing w:after="160"/>
              <w:jc w:val="both"/>
              <w:rPr>
                <w:rFonts w:ascii="Times New Roman" w:eastAsia="Times New Roman" w:hAnsi="Times New Roman" w:cs="Times New Roman"/>
                <w:sz w:val="24"/>
                <w:szCs w:val="24"/>
              </w:rPr>
            </w:pPr>
            <w:r w:rsidRPr="006A5C8D">
              <w:rPr>
                <w:rFonts w:ascii="Times New Roman" w:eastAsia="Times New Roman" w:hAnsi="Times New Roman" w:cs="Times New Roman"/>
                <w:b/>
                <w:i/>
                <w:sz w:val="24"/>
                <w:szCs w:val="24"/>
              </w:rPr>
              <w:t>(заличена информация на основание чл. 33 ал. 4 от ЗОП /отм./).</w:t>
            </w:r>
          </w:p>
        </w:tc>
      </w:tr>
    </w:tbl>
    <w:p w:rsidR="00180798" w:rsidRDefault="00180798" w:rsidP="00092BFC">
      <w:pPr>
        <w:tabs>
          <w:tab w:val="left" w:pos="993"/>
        </w:tabs>
        <w:suppressAutoHyphens/>
        <w:spacing w:after="0"/>
        <w:ind w:firstLine="709"/>
        <w:jc w:val="both"/>
        <w:rPr>
          <w:rFonts w:ascii="Times New Roman" w:hAnsi="Times New Roman" w:cs="Times New Roman"/>
          <w:sz w:val="24"/>
          <w:szCs w:val="24"/>
        </w:rPr>
      </w:pPr>
    </w:p>
    <w:p w:rsidR="00211A22" w:rsidRPr="00D02819" w:rsidRDefault="00211A22" w:rsidP="00211A22">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Съгласно Методиката, </w:t>
      </w:r>
      <w:r w:rsidRPr="00D02819">
        <w:rPr>
          <w:rFonts w:ascii="Times New Roman" w:eastAsia="Times New Roman" w:hAnsi="Times New Roman" w:cs="Times New Roman"/>
          <w:sz w:val="24"/>
          <w:szCs w:val="24"/>
        </w:rPr>
        <w:t xml:space="preserve">Оценката по показател </w:t>
      </w:r>
      <w:r w:rsidRPr="00D02819">
        <w:rPr>
          <w:rFonts w:ascii="Times New Roman" w:eastAsia="Times New Roman" w:hAnsi="Times New Roman" w:cs="Times New Roman"/>
          <w:b/>
          <w:sz w:val="24"/>
          <w:szCs w:val="24"/>
        </w:rPr>
        <w:t xml:space="preserve">„Техническо предложение” </w:t>
      </w:r>
      <w:r w:rsidRPr="00D02819">
        <w:rPr>
          <w:rFonts w:ascii="Times New Roman" w:eastAsia="Times New Roman" w:hAnsi="Times New Roman" w:cs="Times New Roman"/>
          <w:sz w:val="24"/>
          <w:szCs w:val="24"/>
        </w:rPr>
        <w:t xml:space="preserve">на всяко едно от предложенията се изчислява по следната формула: </w:t>
      </w:r>
    </w:p>
    <w:p w:rsidR="00211A22" w:rsidRPr="00D02819" w:rsidRDefault="00211A22" w:rsidP="00211A22">
      <w:pPr>
        <w:spacing w:after="0"/>
        <w:ind w:firstLine="426"/>
        <w:jc w:val="both"/>
        <w:rPr>
          <w:rFonts w:ascii="Times New Roman" w:eastAsia="Times New Roman" w:hAnsi="Times New Roman" w:cs="Times New Roman"/>
          <w:b/>
          <w:sz w:val="24"/>
          <w:szCs w:val="24"/>
        </w:rPr>
      </w:pPr>
      <w:r w:rsidRPr="00D02819">
        <w:rPr>
          <w:rFonts w:ascii="Times New Roman" w:eastAsia="Times New Roman" w:hAnsi="Times New Roman" w:cs="Times New Roman"/>
          <w:b/>
          <w:sz w:val="24"/>
          <w:szCs w:val="24"/>
        </w:rPr>
        <w:tab/>
        <w:t xml:space="preserve">           T</w:t>
      </w:r>
      <w:r w:rsidRPr="00D02819">
        <w:rPr>
          <w:rFonts w:ascii="Times New Roman" w:eastAsia="Times New Roman" w:hAnsi="Times New Roman" w:cs="Times New Roman"/>
          <w:b/>
          <w:sz w:val="24"/>
          <w:szCs w:val="24"/>
          <w:vertAlign w:val="subscript"/>
        </w:rPr>
        <w:t>N</w:t>
      </w:r>
    </w:p>
    <w:p w:rsidR="00211A22" w:rsidRPr="00D02819" w:rsidRDefault="00211A22" w:rsidP="00211A22">
      <w:pPr>
        <w:spacing w:after="0"/>
        <w:ind w:firstLine="426"/>
        <w:jc w:val="both"/>
        <w:rPr>
          <w:rFonts w:ascii="Times New Roman" w:eastAsia="Times New Roman" w:hAnsi="Times New Roman" w:cs="Times New Roman"/>
          <w:b/>
          <w:sz w:val="24"/>
          <w:szCs w:val="24"/>
        </w:rPr>
      </w:pPr>
      <w:r w:rsidRPr="00D02819">
        <w:rPr>
          <w:rFonts w:ascii="Times New Roman" w:eastAsia="Times New Roman" w:hAnsi="Times New Roman" w:cs="Times New Roman"/>
          <w:b/>
          <w:sz w:val="24"/>
          <w:szCs w:val="24"/>
        </w:rPr>
        <w:t xml:space="preserve">ОТ = -------------- x </w:t>
      </w:r>
      <w:r w:rsidRPr="00D02819">
        <w:rPr>
          <w:rFonts w:ascii="Times New Roman" w:eastAsia="Times New Roman" w:hAnsi="Times New Roman" w:cs="Times New Roman"/>
          <w:b/>
          <w:sz w:val="24"/>
          <w:szCs w:val="24"/>
          <w:lang w:val="en-US"/>
        </w:rPr>
        <w:t>5</w:t>
      </w:r>
      <w:r w:rsidRPr="00D02819">
        <w:rPr>
          <w:rFonts w:ascii="Times New Roman" w:eastAsia="Times New Roman" w:hAnsi="Times New Roman" w:cs="Times New Roman"/>
          <w:b/>
          <w:sz w:val="24"/>
          <w:szCs w:val="24"/>
        </w:rPr>
        <w:t>0</w:t>
      </w:r>
    </w:p>
    <w:p w:rsidR="00211A22" w:rsidRPr="00D02819" w:rsidRDefault="00211A22" w:rsidP="00211A22">
      <w:pPr>
        <w:spacing w:after="0"/>
        <w:ind w:firstLine="426"/>
        <w:jc w:val="both"/>
        <w:rPr>
          <w:rFonts w:ascii="Times New Roman" w:eastAsia="Times New Roman" w:hAnsi="Times New Roman" w:cs="Times New Roman"/>
          <w:b/>
          <w:sz w:val="24"/>
          <w:szCs w:val="24"/>
          <w:vertAlign w:val="subscript"/>
        </w:rPr>
      </w:pPr>
      <w:r w:rsidRPr="00D02819">
        <w:rPr>
          <w:rFonts w:ascii="Times New Roman" w:eastAsia="Times New Roman" w:hAnsi="Times New Roman" w:cs="Times New Roman"/>
          <w:b/>
          <w:sz w:val="24"/>
          <w:szCs w:val="24"/>
        </w:rPr>
        <w:tab/>
        <w:t xml:space="preserve">        </w:t>
      </w:r>
      <w:proofErr w:type="spellStart"/>
      <w:r w:rsidRPr="00D02819">
        <w:rPr>
          <w:rFonts w:ascii="Times New Roman" w:eastAsia="Times New Roman" w:hAnsi="Times New Roman" w:cs="Times New Roman"/>
          <w:b/>
          <w:sz w:val="24"/>
          <w:szCs w:val="24"/>
        </w:rPr>
        <w:t>T</w:t>
      </w:r>
      <w:r w:rsidRPr="00D02819">
        <w:rPr>
          <w:rFonts w:ascii="Times New Roman" w:eastAsia="Times New Roman" w:hAnsi="Times New Roman" w:cs="Times New Roman"/>
          <w:b/>
          <w:sz w:val="24"/>
          <w:szCs w:val="24"/>
          <w:vertAlign w:val="subscript"/>
        </w:rPr>
        <w:t>Nmax</w:t>
      </w:r>
      <w:proofErr w:type="spellEnd"/>
    </w:p>
    <w:p w:rsidR="00211A22" w:rsidRPr="00D02819" w:rsidRDefault="00211A22" w:rsidP="00211A22">
      <w:pPr>
        <w:spacing w:after="0"/>
        <w:ind w:firstLine="426"/>
        <w:jc w:val="both"/>
        <w:rPr>
          <w:rFonts w:ascii="Times New Roman" w:eastAsia="Times New Roman" w:hAnsi="Times New Roman" w:cs="Times New Roman"/>
          <w:b/>
          <w:sz w:val="24"/>
          <w:szCs w:val="24"/>
          <w:vertAlign w:val="subscript"/>
        </w:rPr>
      </w:pPr>
    </w:p>
    <w:p w:rsidR="00211A22" w:rsidRPr="00D02819" w:rsidRDefault="00211A22" w:rsidP="00211A22">
      <w:pPr>
        <w:spacing w:after="0"/>
        <w:ind w:firstLine="426"/>
        <w:jc w:val="both"/>
        <w:rPr>
          <w:rFonts w:ascii="Times New Roman" w:eastAsia="Times New Roman" w:hAnsi="Times New Roman" w:cs="Times New Roman"/>
          <w:b/>
          <w:sz w:val="24"/>
          <w:szCs w:val="24"/>
        </w:rPr>
      </w:pPr>
      <w:r w:rsidRPr="00D02819">
        <w:rPr>
          <w:rFonts w:ascii="Times New Roman" w:eastAsia="Times New Roman" w:hAnsi="Times New Roman" w:cs="Times New Roman"/>
          <w:b/>
          <w:sz w:val="24"/>
          <w:szCs w:val="24"/>
        </w:rPr>
        <w:t>където:</w:t>
      </w:r>
    </w:p>
    <w:p w:rsidR="00211A22" w:rsidRPr="00D02819" w:rsidRDefault="00211A22" w:rsidP="00211A22">
      <w:pPr>
        <w:spacing w:after="0"/>
        <w:ind w:firstLine="426"/>
        <w:jc w:val="both"/>
        <w:rPr>
          <w:rFonts w:ascii="Times New Roman" w:eastAsia="Times New Roman" w:hAnsi="Times New Roman" w:cs="Times New Roman"/>
          <w:sz w:val="24"/>
          <w:szCs w:val="24"/>
        </w:rPr>
      </w:pPr>
      <w:r w:rsidRPr="00D02819">
        <w:rPr>
          <w:rFonts w:ascii="Times New Roman" w:eastAsia="Times New Roman" w:hAnsi="Times New Roman" w:cs="Times New Roman"/>
          <w:sz w:val="24"/>
          <w:szCs w:val="24"/>
        </w:rPr>
        <w:t>Т</w:t>
      </w:r>
      <w:r w:rsidRPr="00D02819">
        <w:rPr>
          <w:rFonts w:ascii="Times New Roman" w:eastAsia="Times New Roman" w:hAnsi="Times New Roman" w:cs="Times New Roman"/>
          <w:sz w:val="24"/>
          <w:szCs w:val="24"/>
          <w:vertAlign w:val="subscript"/>
        </w:rPr>
        <w:t>N</w:t>
      </w:r>
      <w:r w:rsidRPr="00D02819">
        <w:rPr>
          <w:rFonts w:ascii="Times New Roman" w:eastAsia="Times New Roman" w:hAnsi="Times New Roman" w:cs="Times New Roman"/>
          <w:sz w:val="24"/>
          <w:szCs w:val="24"/>
        </w:rPr>
        <w:t xml:space="preserve"> – резултата от оценката на членовете на комисията за оценяваната оферта</w:t>
      </w:r>
    </w:p>
    <w:p w:rsidR="00211A22" w:rsidRPr="00D02819" w:rsidRDefault="00211A22" w:rsidP="00211A22">
      <w:pPr>
        <w:spacing w:after="0"/>
        <w:ind w:firstLine="426"/>
        <w:jc w:val="both"/>
        <w:rPr>
          <w:rFonts w:ascii="Times New Roman" w:eastAsia="Times New Roman" w:hAnsi="Times New Roman" w:cs="Times New Roman"/>
          <w:sz w:val="24"/>
          <w:szCs w:val="24"/>
        </w:rPr>
      </w:pPr>
      <w:proofErr w:type="spellStart"/>
      <w:r w:rsidRPr="00D02819">
        <w:rPr>
          <w:rFonts w:ascii="Times New Roman" w:eastAsia="Times New Roman" w:hAnsi="Times New Roman" w:cs="Times New Roman"/>
          <w:sz w:val="24"/>
          <w:szCs w:val="24"/>
        </w:rPr>
        <w:t>T</w:t>
      </w:r>
      <w:r w:rsidRPr="00D02819">
        <w:rPr>
          <w:rFonts w:ascii="Times New Roman" w:eastAsia="Times New Roman" w:hAnsi="Times New Roman" w:cs="Times New Roman"/>
          <w:sz w:val="24"/>
          <w:szCs w:val="24"/>
          <w:vertAlign w:val="subscript"/>
        </w:rPr>
        <w:t>Nmax</w:t>
      </w:r>
      <w:proofErr w:type="spellEnd"/>
      <w:r w:rsidRPr="00D02819">
        <w:rPr>
          <w:rFonts w:ascii="Times New Roman" w:eastAsia="Times New Roman" w:hAnsi="Times New Roman" w:cs="Times New Roman"/>
          <w:sz w:val="24"/>
          <w:szCs w:val="24"/>
        </w:rPr>
        <w:t xml:space="preserve"> – максимално възможната стойност на показател „Техническо предложение“, която се формира като сбор от максималните точки на всички </w:t>
      </w:r>
      <w:proofErr w:type="spellStart"/>
      <w:r w:rsidRPr="00D02819">
        <w:rPr>
          <w:rFonts w:ascii="Times New Roman" w:eastAsia="Times New Roman" w:hAnsi="Times New Roman" w:cs="Times New Roman"/>
          <w:sz w:val="24"/>
          <w:szCs w:val="24"/>
        </w:rPr>
        <w:t>подпоказатели</w:t>
      </w:r>
      <w:proofErr w:type="spellEnd"/>
      <w:r w:rsidRPr="00D02819">
        <w:rPr>
          <w:rFonts w:ascii="Times New Roman" w:eastAsia="Times New Roman" w:hAnsi="Times New Roman" w:cs="Times New Roman"/>
          <w:sz w:val="24"/>
          <w:szCs w:val="24"/>
        </w:rPr>
        <w:t xml:space="preserve"> (в случая – 20 точки).</w:t>
      </w:r>
    </w:p>
    <w:p w:rsidR="00211A22" w:rsidRPr="00F83E24" w:rsidRDefault="00211A22" w:rsidP="00211A22">
      <w:pPr>
        <w:tabs>
          <w:tab w:val="left" w:pos="993"/>
        </w:tabs>
        <w:suppressAutoHyphens/>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Съгласно горепосочената формула, по показател ОТ участникът получава </w:t>
      </w:r>
      <w:r>
        <w:rPr>
          <w:rFonts w:ascii="Times New Roman" w:eastAsia="Calibri" w:hAnsi="Times New Roman" w:cs="Times New Roman"/>
          <w:b/>
          <w:sz w:val="24"/>
          <w:szCs w:val="24"/>
        </w:rPr>
        <w:t xml:space="preserve">5 </w:t>
      </w:r>
      <w:r w:rsidRPr="00F83E24">
        <w:rPr>
          <w:rFonts w:ascii="Times New Roman" w:eastAsia="Calibri" w:hAnsi="Times New Roman" w:cs="Times New Roman"/>
          <w:b/>
          <w:sz w:val="24"/>
          <w:szCs w:val="24"/>
        </w:rPr>
        <w:t>т.</w:t>
      </w:r>
    </w:p>
    <w:p w:rsidR="00C16996" w:rsidRPr="00C16996" w:rsidRDefault="00C16996" w:rsidP="00092BFC">
      <w:pPr>
        <w:spacing w:before="120" w:after="120"/>
        <w:ind w:firstLine="709"/>
        <w:jc w:val="both"/>
        <w:rPr>
          <w:rFonts w:ascii="Times New Roman" w:eastAsia="Calibri" w:hAnsi="Times New Roman" w:cs="Times New Roman"/>
          <w:sz w:val="24"/>
          <w:szCs w:val="24"/>
        </w:rPr>
      </w:pPr>
      <w:r w:rsidRPr="003963F9">
        <w:rPr>
          <w:rFonts w:ascii="Times New Roman" w:eastAsia="Calibri" w:hAnsi="Times New Roman" w:cs="Times New Roman"/>
          <w:sz w:val="24"/>
          <w:szCs w:val="24"/>
        </w:rPr>
        <w:t xml:space="preserve">С това комисията приключи своята работа на този етап и взе решение ценовите оферти на всички участниците да бъдат отворени на </w:t>
      </w:r>
      <w:r w:rsidR="003963F9" w:rsidRPr="003963F9">
        <w:rPr>
          <w:rFonts w:ascii="Times New Roman" w:eastAsia="Calibri" w:hAnsi="Times New Roman" w:cs="Times New Roman"/>
          <w:b/>
          <w:sz w:val="24"/>
          <w:szCs w:val="24"/>
        </w:rPr>
        <w:t>09.06</w:t>
      </w:r>
      <w:r w:rsidRPr="003963F9">
        <w:rPr>
          <w:rFonts w:ascii="Times New Roman" w:eastAsia="Calibri" w:hAnsi="Times New Roman" w:cs="Times New Roman"/>
          <w:b/>
          <w:sz w:val="24"/>
          <w:szCs w:val="24"/>
        </w:rPr>
        <w:t xml:space="preserve">.2016 </w:t>
      </w:r>
      <w:r w:rsidR="003963F9" w:rsidRPr="003963F9">
        <w:rPr>
          <w:rFonts w:ascii="Times New Roman" w:eastAsia="Calibri" w:hAnsi="Times New Roman" w:cs="Times New Roman"/>
          <w:b/>
          <w:sz w:val="24"/>
          <w:szCs w:val="24"/>
        </w:rPr>
        <w:t>г. от 11:3</w:t>
      </w:r>
      <w:r w:rsidRPr="003963F9">
        <w:rPr>
          <w:rFonts w:ascii="Times New Roman" w:eastAsia="Calibri" w:hAnsi="Times New Roman" w:cs="Times New Roman"/>
          <w:b/>
          <w:sz w:val="24"/>
          <w:szCs w:val="24"/>
        </w:rPr>
        <w:t>0 часа,</w:t>
      </w:r>
      <w:r w:rsidRPr="003963F9">
        <w:rPr>
          <w:rFonts w:ascii="Times New Roman" w:eastAsia="Calibri" w:hAnsi="Times New Roman" w:cs="Times New Roman"/>
          <w:sz w:val="24"/>
          <w:szCs w:val="24"/>
        </w:rPr>
        <w:t xml:space="preserve"> като за това участниците в процедурата ще бъдат уведомени  по надлежния ред.</w:t>
      </w:r>
    </w:p>
    <w:p w:rsidR="00C16996" w:rsidRDefault="00C16996" w:rsidP="00092BFC">
      <w:pPr>
        <w:spacing w:before="120" w:after="120"/>
        <w:jc w:val="center"/>
        <w:rPr>
          <w:rFonts w:ascii="Times New Roman" w:eastAsia="Calibri" w:hAnsi="Times New Roman" w:cs="Times New Roman"/>
          <w:b/>
          <w:sz w:val="24"/>
          <w:szCs w:val="24"/>
        </w:rPr>
      </w:pPr>
    </w:p>
    <w:p w:rsidR="002F699E" w:rsidRPr="00B306A5" w:rsidRDefault="002F699E" w:rsidP="00092BFC">
      <w:pPr>
        <w:spacing w:before="120" w:after="120"/>
        <w:jc w:val="center"/>
        <w:rPr>
          <w:rFonts w:ascii="Times New Roman" w:eastAsia="Calibri" w:hAnsi="Times New Roman" w:cs="Times New Roman"/>
          <w:b/>
          <w:sz w:val="24"/>
          <w:szCs w:val="24"/>
        </w:rPr>
      </w:pPr>
      <w:r w:rsidRPr="00B306A5">
        <w:rPr>
          <w:rFonts w:ascii="Times New Roman" w:eastAsia="Calibri" w:hAnsi="Times New Roman" w:cs="Times New Roman"/>
          <w:b/>
          <w:sz w:val="24"/>
          <w:szCs w:val="24"/>
        </w:rPr>
        <w:t>КОМИСИЯ:</w:t>
      </w:r>
    </w:p>
    <w:p w:rsidR="000258F1" w:rsidRPr="00B306A5" w:rsidRDefault="005C30D0" w:rsidP="00092BFC">
      <w:pPr>
        <w:pStyle w:val="a3"/>
        <w:numPr>
          <w:ilvl w:val="0"/>
          <w:numId w:val="26"/>
        </w:numPr>
        <w:spacing w:before="120" w:after="120"/>
        <w:rPr>
          <w:rFonts w:ascii="Times New Roman" w:hAnsi="Times New Roman" w:cs="Times New Roman"/>
          <w:sz w:val="24"/>
          <w:szCs w:val="24"/>
        </w:rPr>
      </w:pPr>
      <w:r>
        <w:rPr>
          <w:rFonts w:ascii="Times New Roman" w:hAnsi="Times New Roman" w:cs="Times New Roman"/>
          <w:sz w:val="24"/>
          <w:szCs w:val="24"/>
        </w:rPr>
        <w:t>Милена Трифонова</w:t>
      </w:r>
      <w:r w:rsidR="00B306A5" w:rsidRPr="00B306A5">
        <w:rPr>
          <w:rFonts w:ascii="Times New Roman" w:hAnsi="Times New Roman" w:cs="Times New Roman"/>
          <w:sz w:val="24"/>
          <w:szCs w:val="24"/>
        </w:rPr>
        <w:tab/>
      </w:r>
      <w:r w:rsidR="00B306A5">
        <w:rPr>
          <w:rFonts w:ascii="Times New Roman" w:hAnsi="Times New Roman" w:cs="Times New Roman"/>
          <w:sz w:val="24"/>
          <w:szCs w:val="24"/>
        </w:rPr>
        <w:tab/>
      </w:r>
      <w:r w:rsidR="00684667" w:rsidRPr="00B306A5">
        <w:rPr>
          <w:rFonts w:ascii="Times New Roman" w:hAnsi="Times New Roman" w:cs="Times New Roman"/>
          <w:sz w:val="24"/>
          <w:szCs w:val="24"/>
        </w:rPr>
        <w:t>/</w:t>
      </w:r>
      <w:r w:rsidR="001651C3">
        <w:rPr>
          <w:rFonts w:ascii="Times New Roman" w:hAnsi="Times New Roman" w:cs="Times New Roman"/>
          <w:sz w:val="24"/>
          <w:szCs w:val="24"/>
        </w:rPr>
        <w:t>П</w:t>
      </w:r>
      <w:r w:rsidR="00684667" w:rsidRPr="00B306A5">
        <w:rPr>
          <w:rFonts w:ascii="Times New Roman" w:hAnsi="Times New Roman" w:cs="Times New Roman"/>
          <w:sz w:val="24"/>
          <w:szCs w:val="24"/>
        </w:rPr>
        <w:t>/</w:t>
      </w:r>
    </w:p>
    <w:p w:rsidR="00B306A5" w:rsidRPr="00B306A5" w:rsidRDefault="005C30D0" w:rsidP="00092BFC">
      <w:pPr>
        <w:pStyle w:val="a3"/>
        <w:numPr>
          <w:ilvl w:val="0"/>
          <w:numId w:val="26"/>
        </w:numPr>
        <w:spacing w:before="120" w:after="120"/>
        <w:rPr>
          <w:rFonts w:ascii="Times New Roman" w:hAnsi="Times New Roman" w:cs="Times New Roman"/>
          <w:sz w:val="24"/>
          <w:szCs w:val="24"/>
        </w:rPr>
      </w:pPr>
      <w:r>
        <w:rPr>
          <w:rFonts w:ascii="Times New Roman" w:hAnsi="Times New Roman" w:cs="Times New Roman"/>
          <w:sz w:val="24"/>
          <w:szCs w:val="24"/>
        </w:rPr>
        <w:t>Василена Николова</w:t>
      </w:r>
      <w:r w:rsidR="00B306A5" w:rsidRPr="00B306A5">
        <w:rPr>
          <w:rFonts w:ascii="Times New Roman" w:hAnsi="Times New Roman" w:cs="Times New Roman"/>
          <w:sz w:val="24"/>
          <w:szCs w:val="24"/>
        </w:rPr>
        <w:tab/>
      </w:r>
      <w:r w:rsidR="00B306A5">
        <w:rPr>
          <w:rFonts w:ascii="Times New Roman" w:hAnsi="Times New Roman" w:cs="Times New Roman"/>
          <w:sz w:val="24"/>
          <w:szCs w:val="24"/>
        </w:rPr>
        <w:tab/>
      </w:r>
      <w:r w:rsidR="00B306A5" w:rsidRPr="00B306A5">
        <w:rPr>
          <w:rFonts w:ascii="Times New Roman" w:hAnsi="Times New Roman" w:cs="Times New Roman"/>
          <w:sz w:val="24"/>
          <w:szCs w:val="24"/>
        </w:rPr>
        <w:t>/</w:t>
      </w:r>
      <w:r w:rsidR="001651C3">
        <w:rPr>
          <w:rFonts w:ascii="Times New Roman" w:hAnsi="Times New Roman" w:cs="Times New Roman"/>
          <w:sz w:val="24"/>
          <w:szCs w:val="24"/>
        </w:rPr>
        <w:t>П</w:t>
      </w:r>
      <w:r w:rsidR="00B306A5" w:rsidRPr="00B306A5">
        <w:rPr>
          <w:rFonts w:ascii="Times New Roman" w:hAnsi="Times New Roman" w:cs="Times New Roman"/>
          <w:sz w:val="24"/>
          <w:szCs w:val="24"/>
        </w:rPr>
        <w:t>/</w:t>
      </w:r>
      <w:bookmarkStart w:id="0" w:name="_GoBack"/>
      <w:bookmarkEnd w:id="0"/>
    </w:p>
    <w:p w:rsidR="00B306A5" w:rsidRPr="00B306A5" w:rsidRDefault="005C30D0" w:rsidP="00092BFC">
      <w:pPr>
        <w:pStyle w:val="a3"/>
        <w:numPr>
          <w:ilvl w:val="0"/>
          <w:numId w:val="26"/>
        </w:numPr>
        <w:spacing w:before="120" w:after="120"/>
        <w:rPr>
          <w:rFonts w:ascii="Times New Roman" w:hAnsi="Times New Roman" w:cs="Times New Roman"/>
          <w:sz w:val="24"/>
          <w:szCs w:val="24"/>
        </w:rPr>
      </w:pPr>
      <w:r>
        <w:rPr>
          <w:rFonts w:ascii="Times New Roman" w:hAnsi="Times New Roman" w:cs="Times New Roman"/>
          <w:sz w:val="24"/>
          <w:szCs w:val="24"/>
        </w:rPr>
        <w:t>Елена Иванова</w:t>
      </w:r>
      <w:r w:rsidR="00B306A5" w:rsidRPr="00B306A5">
        <w:rPr>
          <w:rFonts w:ascii="Times New Roman" w:hAnsi="Times New Roman" w:cs="Times New Roman"/>
          <w:sz w:val="24"/>
          <w:szCs w:val="24"/>
        </w:rPr>
        <w:tab/>
      </w:r>
      <w:r w:rsidR="00B306A5">
        <w:rPr>
          <w:rFonts w:ascii="Times New Roman" w:hAnsi="Times New Roman" w:cs="Times New Roman"/>
          <w:sz w:val="24"/>
          <w:szCs w:val="24"/>
        </w:rPr>
        <w:tab/>
      </w:r>
      <w:r w:rsidR="00B306A5" w:rsidRPr="00B306A5">
        <w:rPr>
          <w:rFonts w:ascii="Times New Roman" w:hAnsi="Times New Roman" w:cs="Times New Roman"/>
          <w:sz w:val="24"/>
          <w:szCs w:val="24"/>
        </w:rPr>
        <w:t>/</w:t>
      </w:r>
      <w:r w:rsidR="001651C3">
        <w:rPr>
          <w:rFonts w:ascii="Times New Roman" w:hAnsi="Times New Roman" w:cs="Times New Roman"/>
          <w:sz w:val="24"/>
          <w:szCs w:val="24"/>
        </w:rPr>
        <w:t>П</w:t>
      </w:r>
      <w:r w:rsidR="00B306A5" w:rsidRPr="00B306A5">
        <w:rPr>
          <w:rFonts w:ascii="Times New Roman" w:hAnsi="Times New Roman" w:cs="Times New Roman"/>
          <w:sz w:val="24"/>
          <w:szCs w:val="24"/>
        </w:rPr>
        <w:t>/</w:t>
      </w:r>
    </w:p>
    <w:p w:rsidR="00B306A5" w:rsidRPr="00B306A5" w:rsidRDefault="00B306A5" w:rsidP="00092BFC">
      <w:pPr>
        <w:pStyle w:val="a3"/>
        <w:numPr>
          <w:ilvl w:val="0"/>
          <w:numId w:val="26"/>
        </w:numPr>
        <w:spacing w:before="120" w:after="120"/>
        <w:rPr>
          <w:rFonts w:ascii="Times New Roman" w:hAnsi="Times New Roman" w:cs="Times New Roman"/>
          <w:sz w:val="24"/>
          <w:szCs w:val="24"/>
        </w:rPr>
      </w:pPr>
      <w:r w:rsidRPr="00B306A5">
        <w:rPr>
          <w:rFonts w:ascii="Times New Roman" w:hAnsi="Times New Roman" w:cs="Times New Roman"/>
          <w:sz w:val="24"/>
          <w:szCs w:val="24"/>
        </w:rPr>
        <w:t xml:space="preserve">Георги </w:t>
      </w:r>
      <w:proofErr w:type="spellStart"/>
      <w:r w:rsidRPr="00B306A5">
        <w:rPr>
          <w:rFonts w:ascii="Times New Roman" w:hAnsi="Times New Roman" w:cs="Times New Roman"/>
          <w:sz w:val="24"/>
          <w:szCs w:val="24"/>
        </w:rPr>
        <w:t>Дурчов</w:t>
      </w:r>
      <w:proofErr w:type="spellEnd"/>
      <w:r>
        <w:rPr>
          <w:rFonts w:ascii="Times New Roman" w:hAnsi="Times New Roman" w:cs="Times New Roman"/>
          <w:sz w:val="24"/>
          <w:szCs w:val="24"/>
        </w:rPr>
        <w:tab/>
      </w:r>
      <w:r>
        <w:rPr>
          <w:rFonts w:ascii="Times New Roman" w:hAnsi="Times New Roman" w:cs="Times New Roman"/>
          <w:sz w:val="24"/>
          <w:szCs w:val="24"/>
        </w:rPr>
        <w:tab/>
      </w:r>
      <w:r w:rsidRPr="00B306A5">
        <w:rPr>
          <w:rFonts w:ascii="Times New Roman" w:hAnsi="Times New Roman" w:cs="Times New Roman"/>
          <w:sz w:val="24"/>
          <w:szCs w:val="24"/>
        </w:rPr>
        <w:t>/</w:t>
      </w:r>
      <w:r w:rsidR="001651C3">
        <w:rPr>
          <w:rFonts w:ascii="Times New Roman" w:hAnsi="Times New Roman" w:cs="Times New Roman"/>
          <w:sz w:val="24"/>
          <w:szCs w:val="24"/>
        </w:rPr>
        <w:t>П</w:t>
      </w:r>
      <w:r w:rsidRPr="00B306A5">
        <w:rPr>
          <w:rFonts w:ascii="Times New Roman" w:hAnsi="Times New Roman" w:cs="Times New Roman"/>
          <w:sz w:val="24"/>
          <w:szCs w:val="24"/>
        </w:rPr>
        <w:t>/</w:t>
      </w:r>
    </w:p>
    <w:p w:rsidR="00B306A5" w:rsidRPr="00B306A5" w:rsidRDefault="005C30D0" w:rsidP="00092BFC">
      <w:pPr>
        <w:pStyle w:val="a3"/>
        <w:numPr>
          <w:ilvl w:val="0"/>
          <w:numId w:val="26"/>
        </w:numPr>
        <w:spacing w:before="120" w:after="120"/>
        <w:rPr>
          <w:rFonts w:ascii="Times New Roman" w:hAnsi="Times New Roman" w:cs="Times New Roman"/>
          <w:sz w:val="24"/>
          <w:szCs w:val="24"/>
        </w:rPr>
      </w:pPr>
      <w:r>
        <w:rPr>
          <w:rFonts w:ascii="Times New Roman" w:hAnsi="Times New Roman" w:cs="Times New Roman"/>
          <w:sz w:val="24"/>
          <w:szCs w:val="24"/>
        </w:rPr>
        <w:t>Недялка Николова</w:t>
      </w:r>
      <w:r w:rsidR="00B306A5" w:rsidRPr="00B306A5">
        <w:rPr>
          <w:rFonts w:ascii="Times New Roman" w:hAnsi="Times New Roman" w:cs="Times New Roman"/>
          <w:sz w:val="24"/>
          <w:szCs w:val="24"/>
        </w:rPr>
        <w:tab/>
      </w:r>
      <w:r w:rsidR="00B306A5">
        <w:rPr>
          <w:rFonts w:ascii="Times New Roman" w:hAnsi="Times New Roman" w:cs="Times New Roman"/>
          <w:sz w:val="24"/>
          <w:szCs w:val="24"/>
        </w:rPr>
        <w:tab/>
      </w:r>
      <w:r w:rsidR="00B306A5" w:rsidRPr="00B306A5">
        <w:rPr>
          <w:rFonts w:ascii="Times New Roman" w:hAnsi="Times New Roman" w:cs="Times New Roman"/>
          <w:sz w:val="24"/>
          <w:szCs w:val="24"/>
        </w:rPr>
        <w:t>/</w:t>
      </w:r>
      <w:r w:rsidR="001651C3">
        <w:rPr>
          <w:rFonts w:ascii="Times New Roman" w:hAnsi="Times New Roman" w:cs="Times New Roman"/>
          <w:sz w:val="24"/>
          <w:szCs w:val="24"/>
        </w:rPr>
        <w:t>П</w:t>
      </w:r>
      <w:r w:rsidR="00B306A5" w:rsidRPr="00B306A5">
        <w:rPr>
          <w:rFonts w:ascii="Times New Roman" w:hAnsi="Times New Roman" w:cs="Times New Roman"/>
          <w:sz w:val="24"/>
          <w:szCs w:val="24"/>
        </w:rPr>
        <w:t>/</w:t>
      </w:r>
    </w:p>
    <w:p w:rsidR="00B306A5" w:rsidRDefault="00B306A5" w:rsidP="00092BFC">
      <w:pPr>
        <w:spacing w:before="120" w:after="120"/>
        <w:jc w:val="both"/>
        <w:rPr>
          <w:rFonts w:ascii="Times New Roman" w:hAnsi="Times New Roman" w:cs="Times New Roman"/>
          <w:b/>
          <w:bCs/>
          <w:sz w:val="24"/>
          <w:szCs w:val="24"/>
        </w:rPr>
      </w:pPr>
    </w:p>
    <w:p w:rsidR="00B306A5" w:rsidRDefault="000258F1" w:rsidP="00092BFC">
      <w:pPr>
        <w:spacing w:before="120" w:after="120"/>
        <w:jc w:val="center"/>
        <w:rPr>
          <w:rFonts w:ascii="Times New Roman" w:hAnsi="Times New Roman" w:cs="Times New Roman"/>
          <w:sz w:val="24"/>
          <w:szCs w:val="24"/>
        </w:rPr>
      </w:pPr>
      <w:r w:rsidRPr="00B306A5">
        <w:rPr>
          <w:rFonts w:ascii="Times New Roman" w:hAnsi="Times New Roman" w:cs="Times New Roman"/>
          <w:b/>
          <w:bCs/>
          <w:sz w:val="24"/>
          <w:szCs w:val="24"/>
        </w:rPr>
        <w:t>СЕКРЕТАР:</w:t>
      </w:r>
    </w:p>
    <w:p w:rsidR="000258F1" w:rsidRPr="00B306A5" w:rsidRDefault="00B306A5" w:rsidP="00B306A5">
      <w:pPr>
        <w:spacing w:before="120" w:after="120"/>
        <w:jc w:val="center"/>
        <w:rPr>
          <w:rFonts w:ascii="Times New Roman" w:hAnsi="Times New Roman" w:cs="Times New Roman"/>
          <w:sz w:val="24"/>
          <w:szCs w:val="24"/>
        </w:rPr>
      </w:pPr>
      <w:r w:rsidRPr="00B306A5">
        <w:rPr>
          <w:rFonts w:ascii="Times New Roman" w:hAnsi="Times New Roman" w:cs="Times New Roman"/>
          <w:sz w:val="24"/>
          <w:szCs w:val="24"/>
        </w:rPr>
        <w:t>Моника Петрова</w:t>
      </w:r>
      <w:r w:rsidRPr="00B306A5">
        <w:rPr>
          <w:rFonts w:ascii="Times New Roman" w:hAnsi="Times New Roman" w:cs="Times New Roman"/>
          <w:sz w:val="24"/>
          <w:szCs w:val="24"/>
        </w:rPr>
        <w:tab/>
      </w:r>
      <w:r w:rsidR="000258F1" w:rsidRPr="00B306A5">
        <w:rPr>
          <w:rFonts w:ascii="Times New Roman" w:hAnsi="Times New Roman" w:cs="Times New Roman"/>
          <w:sz w:val="24"/>
          <w:szCs w:val="24"/>
        </w:rPr>
        <w:t>/</w:t>
      </w:r>
      <w:r w:rsidR="001651C3">
        <w:rPr>
          <w:rFonts w:ascii="Times New Roman" w:hAnsi="Times New Roman" w:cs="Times New Roman"/>
          <w:sz w:val="24"/>
          <w:szCs w:val="24"/>
        </w:rPr>
        <w:t>П</w:t>
      </w:r>
      <w:r w:rsidR="000258F1" w:rsidRPr="00B306A5">
        <w:rPr>
          <w:rFonts w:ascii="Times New Roman" w:hAnsi="Times New Roman" w:cs="Times New Roman"/>
          <w:sz w:val="24"/>
          <w:szCs w:val="24"/>
        </w:rPr>
        <w:t>/</w:t>
      </w:r>
    </w:p>
    <w:sectPr w:rsidR="000258F1" w:rsidRPr="00B30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D4E"/>
    <w:multiLevelType w:val="hybridMultilevel"/>
    <w:tmpl w:val="E31C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472BF"/>
    <w:multiLevelType w:val="hybridMultilevel"/>
    <w:tmpl w:val="D3FAA26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AE07727"/>
    <w:multiLevelType w:val="hybridMultilevel"/>
    <w:tmpl w:val="85B86B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8907522"/>
    <w:multiLevelType w:val="hybridMultilevel"/>
    <w:tmpl w:val="152481E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 w15:restartNumberingAfterBreak="0">
    <w:nsid w:val="196205B7"/>
    <w:multiLevelType w:val="hybridMultilevel"/>
    <w:tmpl w:val="96C2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87FE0"/>
    <w:multiLevelType w:val="hybridMultilevel"/>
    <w:tmpl w:val="0988168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E1128AA"/>
    <w:multiLevelType w:val="hybridMultilevel"/>
    <w:tmpl w:val="F01CEA04"/>
    <w:lvl w:ilvl="0" w:tplc="0402000F">
      <w:start w:val="1"/>
      <w:numFmt w:val="decimal"/>
      <w:lvlText w:val="%1."/>
      <w:lvlJc w:val="left"/>
      <w:pPr>
        <w:ind w:left="1495" w:hanging="360"/>
      </w:p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7" w15:restartNumberingAfterBreak="0">
    <w:nsid w:val="24B15501"/>
    <w:multiLevelType w:val="hybridMultilevel"/>
    <w:tmpl w:val="C24431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7EC4443"/>
    <w:multiLevelType w:val="hybridMultilevel"/>
    <w:tmpl w:val="DD4A07A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8DA6159"/>
    <w:multiLevelType w:val="hybridMultilevel"/>
    <w:tmpl w:val="285EF844"/>
    <w:lvl w:ilvl="0" w:tplc="AAEA573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06E2201"/>
    <w:multiLevelType w:val="hybridMultilevel"/>
    <w:tmpl w:val="7D5EDFDC"/>
    <w:lvl w:ilvl="0" w:tplc="B0702472">
      <w:start w:val="1"/>
      <w:numFmt w:val="decimal"/>
      <w:lvlText w:val="%1."/>
      <w:lvlJc w:val="left"/>
      <w:pPr>
        <w:ind w:left="1773" w:hanging="360"/>
      </w:pPr>
      <w:rPr>
        <w:rFonts w:hint="default"/>
      </w:rPr>
    </w:lvl>
    <w:lvl w:ilvl="1" w:tplc="04020019" w:tentative="1">
      <w:start w:val="1"/>
      <w:numFmt w:val="lowerLetter"/>
      <w:lvlText w:val="%2."/>
      <w:lvlJc w:val="left"/>
      <w:pPr>
        <w:ind w:left="2493" w:hanging="360"/>
      </w:pPr>
    </w:lvl>
    <w:lvl w:ilvl="2" w:tplc="0402001B" w:tentative="1">
      <w:start w:val="1"/>
      <w:numFmt w:val="lowerRoman"/>
      <w:lvlText w:val="%3."/>
      <w:lvlJc w:val="right"/>
      <w:pPr>
        <w:ind w:left="3213" w:hanging="180"/>
      </w:pPr>
    </w:lvl>
    <w:lvl w:ilvl="3" w:tplc="0402000F" w:tentative="1">
      <w:start w:val="1"/>
      <w:numFmt w:val="decimal"/>
      <w:lvlText w:val="%4."/>
      <w:lvlJc w:val="left"/>
      <w:pPr>
        <w:ind w:left="3933" w:hanging="360"/>
      </w:pPr>
    </w:lvl>
    <w:lvl w:ilvl="4" w:tplc="04020019" w:tentative="1">
      <w:start w:val="1"/>
      <w:numFmt w:val="lowerLetter"/>
      <w:lvlText w:val="%5."/>
      <w:lvlJc w:val="left"/>
      <w:pPr>
        <w:ind w:left="4653" w:hanging="360"/>
      </w:pPr>
    </w:lvl>
    <w:lvl w:ilvl="5" w:tplc="0402001B" w:tentative="1">
      <w:start w:val="1"/>
      <w:numFmt w:val="lowerRoman"/>
      <w:lvlText w:val="%6."/>
      <w:lvlJc w:val="right"/>
      <w:pPr>
        <w:ind w:left="5373" w:hanging="180"/>
      </w:pPr>
    </w:lvl>
    <w:lvl w:ilvl="6" w:tplc="0402000F" w:tentative="1">
      <w:start w:val="1"/>
      <w:numFmt w:val="decimal"/>
      <w:lvlText w:val="%7."/>
      <w:lvlJc w:val="left"/>
      <w:pPr>
        <w:ind w:left="6093" w:hanging="360"/>
      </w:pPr>
    </w:lvl>
    <w:lvl w:ilvl="7" w:tplc="04020019" w:tentative="1">
      <w:start w:val="1"/>
      <w:numFmt w:val="lowerLetter"/>
      <w:lvlText w:val="%8."/>
      <w:lvlJc w:val="left"/>
      <w:pPr>
        <w:ind w:left="6813" w:hanging="360"/>
      </w:pPr>
    </w:lvl>
    <w:lvl w:ilvl="8" w:tplc="0402001B" w:tentative="1">
      <w:start w:val="1"/>
      <w:numFmt w:val="lowerRoman"/>
      <w:lvlText w:val="%9."/>
      <w:lvlJc w:val="right"/>
      <w:pPr>
        <w:ind w:left="7533" w:hanging="180"/>
      </w:pPr>
    </w:lvl>
  </w:abstractNum>
  <w:abstractNum w:abstractNumId="11" w15:restartNumberingAfterBreak="0">
    <w:nsid w:val="3953586C"/>
    <w:multiLevelType w:val="hybridMultilevel"/>
    <w:tmpl w:val="C7220844"/>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2" w15:restartNumberingAfterBreak="0">
    <w:nsid w:val="3B8B7C18"/>
    <w:multiLevelType w:val="hybridMultilevel"/>
    <w:tmpl w:val="9FDC3690"/>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3" w15:restartNumberingAfterBreak="0">
    <w:nsid w:val="3D3902D1"/>
    <w:multiLevelType w:val="hybridMultilevel"/>
    <w:tmpl w:val="44B2C870"/>
    <w:lvl w:ilvl="0" w:tplc="E0AE1A3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43460AD7"/>
    <w:multiLevelType w:val="hybridMultilevel"/>
    <w:tmpl w:val="D340FB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7748A6"/>
    <w:multiLevelType w:val="hybridMultilevel"/>
    <w:tmpl w:val="A40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23260"/>
    <w:multiLevelType w:val="hybridMultilevel"/>
    <w:tmpl w:val="059EE6DA"/>
    <w:lvl w:ilvl="0" w:tplc="0402000F">
      <w:start w:val="1"/>
      <w:numFmt w:val="decimal"/>
      <w:lvlText w:val="%1."/>
      <w:lvlJc w:val="left"/>
      <w:pPr>
        <w:ind w:left="1495" w:hanging="360"/>
      </w:p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17" w15:restartNumberingAfterBreak="0">
    <w:nsid w:val="4D324622"/>
    <w:multiLevelType w:val="hybridMultilevel"/>
    <w:tmpl w:val="8320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5271C"/>
    <w:multiLevelType w:val="hybridMultilevel"/>
    <w:tmpl w:val="0C6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7564F"/>
    <w:multiLevelType w:val="hybridMultilevel"/>
    <w:tmpl w:val="B0589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3FE0477"/>
    <w:multiLevelType w:val="hybridMultilevel"/>
    <w:tmpl w:val="059EE6DA"/>
    <w:lvl w:ilvl="0" w:tplc="0402000F">
      <w:start w:val="1"/>
      <w:numFmt w:val="decimal"/>
      <w:lvlText w:val="%1."/>
      <w:lvlJc w:val="left"/>
      <w:pPr>
        <w:ind w:left="1495" w:hanging="360"/>
      </w:p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21" w15:restartNumberingAfterBreak="0">
    <w:nsid w:val="540516A3"/>
    <w:multiLevelType w:val="hybridMultilevel"/>
    <w:tmpl w:val="06C07074"/>
    <w:lvl w:ilvl="0" w:tplc="82CEA31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56316E86"/>
    <w:multiLevelType w:val="hybridMultilevel"/>
    <w:tmpl w:val="80EC71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8EF23BA"/>
    <w:multiLevelType w:val="hybridMultilevel"/>
    <w:tmpl w:val="8FB49344"/>
    <w:lvl w:ilvl="0" w:tplc="F8E05A46">
      <w:start w:val="1"/>
      <w:numFmt w:val="decimal"/>
      <w:lvlText w:val="%1."/>
      <w:lvlJc w:val="left"/>
      <w:pPr>
        <w:ind w:left="2484" w:hanging="360"/>
      </w:pPr>
      <w:rPr>
        <w:rFonts w:hint="default"/>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24" w15:restartNumberingAfterBreak="0">
    <w:nsid w:val="5A386E5D"/>
    <w:multiLevelType w:val="hybridMultilevel"/>
    <w:tmpl w:val="A6EA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D5822"/>
    <w:multiLevelType w:val="hybridMultilevel"/>
    <w:tmpl w:val="D340FB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EC461B6"/>
    <w:multiLevelType w:val="hybridMultilevel"/>
    <w:tmpl w:val="A6EA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B462C"/>
    <w:multiLevelType w:val="hybridMultilevel"/>
    <w:tmpl w:val="AC12B35A"/>
    <w:lvl w:ilvl="0" w:tplc="E5941388">
      <w:numFmt w:val="bullet"/>
      <w:lvlText w:val="-"/>
      <w:lvlJc w:val="left"/>
      <w:pPr>
        <w:ind w:left="720" w:hanging="360"/>
      </w:pPr>
      <w:rPr>
        <w:rFonts w:ascii="Times New Roman" w:eastAsia="Times New Roman" w:hAnsi="Times New Roman" w:hint="default"/>
        <w:b w:val="0"/>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8" w15:restartNumberingAfterBreak="0">
    <w:nsid w:val="6A5B69BD"/>
    <w:multiLevelType w:val="hybridMultilevel"/>
    <w:tmpl w:val="754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D014E"/>
    <w:multiLevelType w:val="hybridMultilevel"/>
    <w:tmpl w:val="714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43607"/>
    <w:multiLevelType w:val="hybridMultilevel"/>
    <w:tmpl w:val="A6EA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5"/>
  </w:num>
  <w:num w:numId="4">
    <w:abstractNumId w:val="8"/>
  </w:num>
  <w:num w:numId="5">
    <w:abstractNumId w:val="23"/>
  </w:num>
  <w:num w:numId="6">
    <w:abstractNumId w:val="21"/>
  </w:num>
  <w:num w:numId="7">
    <w:abstractNumId w:val="2"/>
  </w:num>
  <w:num w:numId="8">
    <w:abstractNumId w:val="1"/>
  </w:num>
  <w:num w:numId="9">
    <w:abstractNumId w:val="7"/>
  </w:num>
  <w:num w:numId="10">
    <w:abstractNumId w:val="11"/>
  </w:num>
  <w:num w:numId="11">
    <w:abstractNumId w:val="3"/>
  </w:num>
  <w:num w:numId="12">
    <w:abstractNumId w:val="12"/>
  </w:num>
  <w:num w:numId="13">
    <w:abstractNumId w:val="25"/>
  </w:num>
  <w:num w:numId="14">
    <w:abstractNumId w:val="0"/>
  </w:num>
  <w:num w:numId="15">
    <w:abstractNumId w:val="17"/>
  </w:num>
  <w:num w:numId="16">
    <w:abstractNumId w:val="28"/>
  </w:num>
  <w:num w:numId="17">
    <w:abstractNumId w:val="29"/>
  </w:num>
  <w:num w:numId="18">
    <w:abstractNumId w:val="15"/>
  </w:num>
  <w:num w:numId="19">
    <w:abstractNumId w:val="18"/>
  </w:num>
  <w:num w:numId="20">
    <w:abstractNumId w:val="9"/>
  </w:num>
  <w:num w:numId="21">
    <w:abstractNumId w:val="24"/>
  </w:num>
  <w:num w:numId="22">
    <w:abstractNumId w:val="4"/>
  </w:num>
  <w:num w:numId="23">
    <w:abstractNumId w:val="30"/>
  </w:num>
  <w:num w:numId="24">
    <w:abstractNumId w:val="26"/>
  </w:num>
  <w:num w:numId="25">
    <w:abstractNumId w:val="22"/>
  </w:num>
  <w:num w:numId="26">
    <w:abstractNumId w:val="14"/>
  </w:num>
  <w:num w:numId="27">
    <w:abstractNumId w:val="6"/>
  </w:num>
  <w:num w:numId="28">
    <w:abstractNumId w:val="20"/>
  </w:num>
  <w:num w:numId="29">
    <w:abstractNumId w:val="19"/>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B4"/>
    <w:rsid w:val="00006115"/>
    <w:rsid w:val="000258F1"/>
    <w:rsid w:val="00056FC9"/>
    <w:rsid w:val="000634DF"/>
    <w:rsid w:val="00072C0F"/>
    <w:rsid w:val="00081C0A"/>
    <w:rsid w:val="00092BFC"/>
    <w:rsid w:val="000A6A03"/>
    <w:rsid w:val="000C52D2"/>
    <w:rsid w:val="000D0069"/>
    <w:rsid w:val="000D626F"/>
    <w:rsid w:val="000E4EF9"/>
    <w:rsid w:val="0013428E"/>
    <w:rsid w:val="00142EF5"/>
    <w:rsid w:val="001518F9"/>
    <w:rsid w:val="001651C3"/>
    <w:rsid w:val="00180798"/>
    <w:rsid w:val="00184915"/>
    <w:rsid w:val="001B691F"/>
    <w:rsid w:val="001F5841"/>
    <w:rsid w:val="001F6F96"/>
    <w:rsid w:val="00202BBA"/>
    <w:rsid w:val="00211A22"/>
    <w:rsid w:val="00223B9F"/>
    <w:rsid w:val="00241C3F"/>
    <w:rsid w:val="00246D69"/>
    <w:rsid w:val="00265DA6"/>
    <w:rsid w:val="0027168A"/>
    <w:rsid w:val="002A7145"/>
    <w:rsid w:val="002B0E1B"/>
    <w:rsid w:val="002B607B"/>
    <w:rsid w:val="002F0157"/>
    <w:rsid w:val="002F4A64"/>
    <w:rsid w:val="002F699E"/>
    <w:rsid w:val="00313B69"/>
    <w:rsid w:val="0032290C"/>
    <w:rsid w:val="00341BFE"/>
    <w:rsid w:val="00350BD1"/>
    <w:rsid w:val="00393EB3"/>
    <w:rsid w:val="003963F9"/>
    <w:rsid w:val="003A2C15"/>
    <w:rsid w:val="003B0C77"/>
    <w:rsid w:val="003C1E75"/>
    <w:rsid w:val="003D5D08"/>
    <w:rsid w:val="003E26DC"/>
    <w:rsid w:val="00403575"/>
    <w:rsid w:val="004121C6"/>
    <w:rsid w:val="00416C6A"/>
    <w:rsid w:val="00422617"/>
    <w:rsid w:val="00433A84"/>
    <w:rsid w:val="00436799"/>
    <w:rsid w:val="00485F3D"/>
    <w:rsid w:val="004863B4"/>
    <w:rsid w:val="004A45DF"/>
    <w:rsid w:val="004F02E6"/>
    <w:rsid w:val="00505085"/>
    <w:rsid w:val="00527633"/>
    <w:rsid w:val="00537C3F"/>
    <w:rsid w:val="00556998"/>
    <w:rsid w:val="00582248"/>
    <w:rsid w:val="00584CC0"/>
    <w:rsid w:val="005866B4"/>
    <w:rsid w:val="005A197F"/>
    <w:rsid w:val="005B64BA"/>
    <w:rsid w:val="005B71C3"/>
    <w:rsid w:val="005C30D0"/>
    <w:rsid w:val="005D248D"/>
    <w:rsid w:val="0065403B"/>
    <w:rsid w:val="00657269"/>
    <w:rsid w:val="0066124B"/>
    <w:rsid w:val="00684667"/>
    <w:rsid w:val="00691508"/>
    <w:rsid w:val="006A5C8D"/>
    <w:rsid w:val="006E2630"/>
    <w:rsid w:val="006F4989"/>
    <w:rsid w:val="00713439"/>
    <w:rsid w:val="007347F7"/>
    <w:rsid w:val="00750312"/>
    <w:rsid w:val="0077148B"/>
    <w:rsid w:val="00782C48"/>
    <w:rsid w:val="007853F9"/>
    <w:rsid w:val="007A734D"/>
    <w:rsid w:val="007B0C2E"/>
    <w:rsid w:val="007C0595"/>
    <w:rsid w:val="007E63B1"/>
    <w:rsid w:val="007E6AB1"/>
    <w:rsid w:val="007F7EBD"/>
    <w:rsid w:val="00802045"/>
    <w:rsid w:val="008173AB"/>
    <w:rsid w:val="008924CF"/>
    <w:rsid w:val="008A1BB1"/>
    <w:rsid w:val="008D46C2"/>
    <w:rsid w:val="00930F56"/>
    <w:rsid w:val="0094761E"/>
    <w:rsid w:val="00951B0B"/>
    <w:rsid w:val="00967CDA"/>
    <w:rsid w:val="00986D93"/>
    <w:rsid w:val="009913FC"/>
    <w:rsid w:val="009A34E3"/>
    <w:rsid w:val="009A42D2"/>
    <w:rsid w:val="009D1EE4"/>
    <w:rsid w:val="009D7BF1"/>
    <w:rsid w:val="009F413F"/>
    <w:rsid w:val="00A02FE8"/>
    <w:rsid w:val="00A03AE4"/>
    <w:rsid w:val="00A1090F"/>
    <w:rsid w:val="00A14F77"/>
    <w:rsid w:val="00A16920"/>
    <w:rsid w:val="00A53E6A"/>
    <w:rsid w:val="00A739DA"/>
    <w:rsid w:val="00A74F29"/>
    <w:rsid w:val="00AB4F7D"/>
    <w:rsid w:val="00AE0A6F"/>
    <w:rsid w:val="00AF19D5"/>
    <w:rsid w:val="00B0011D"/>
    <w:rsid w:val="00B0364A"/>
    <w:rsid w:val="00B25948"/>
    <w:rsid w:val="00B306A5"/>
    <w:rsid w:val="00B368CF"/>
    <w:rsid w:val="00B429B6"/>
    <w:rsid w:val="00B438A2"/>
    <w:rsid w:val="00B45A01"/>
    <w:rsid w:val="00B46268"/>
    <w:rsid w:val="00B63141"/>
    <w:rsid w:val="00B72E50"/>
    <w:rsid w:val="00BB46FA"/>
    <w:rsid w:val="00BC6EEC"/>
    <w:rsid w:val="00BE22A3"/>
    <w:rsid w:val="00C11EC3"/>
    <w:rsid w:val="00C16996"/>
    <w:rsid w:val="00C40C62"/>
    <w:rsid w:val="00C432A1"/>
    <w:rsid w:val="00C459CF"/>
    <w:rsid w:val="00C56148"/>
    <w:rsid w:val="00CC6216"/>
    <w:rsid w:val="00CD1D33"/>
    <w:rsid w:val="00D01029"/>
    <w:rsid w:val="00D02819"/>
    <w:rsid w:val="00D32F28"/>
    <w:rsid w:val="00D34221"/>
    <w:rsid w:val="00D57265"/>
    <w:rsid w:val="00D636EB"/>
    <w:rsid w:val="00D65B36"/>
    <w:rsid w:val="00D738D2"/>
    <w:rsid w:val="00D97314"/>
    <w:rsid w:val="00DB5F0D"/>
    <w:rsid w:val="00DD5F39"/>
    <w:rsid w:val="00E0467A"/>
    <w:rsid w:val="00E229D4"/>
    <w:rsid w:val="00E242FA"/>
    <w:rsid w:val="00E545F6"/>
    <w:rsid w:val="00E57FCC"/>
    <w:rsid w:val="00E95AAF"/>
    <w:rsid w:val="00EA3EC8"/>
    <w:rsid w:val="00F228F8"/>
    <w:rsid w:val="00F37D91"/>
    <w:rsid w:val="00F5144B"/>
    <w:rsid w:val="00F53CC4"/>
    <w:rsid w:val="00F941A7"/>
    <w:rsid w:val="00FB4B73"/>
    <w:rsid w:val="00FC4DE7"/>
    <w:rsid w:val="00FD66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FCE54-16B1-4667-8820-A52D3558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438A2"/>
    <w:pPr>
      <w:ind w:left="720"/>
      <w:contextualSpacing/>
    </w:pPr>
  </w:style>
  <w:style w:type="character" w:styleId="a5">
    <w:name w:val="annotation reference"/>
    <w:basedOn w:val="a0"/>
    <w:uiPriority w:val="99"/>
    <w:semiHidden/>
    <w:unhideWhenUsed/>
    <w:rsid w:val="000D626F"/>
    <w:rPr>
      <w:sz w:val="16"/>
      <w:szCs w:val="16"/>
    </w:rPr>
  </w:style>
  <w:style w:type="paragraph" w:styleId="a6">
    <w:name w:val="annotation text"/>
    <w:basedOn w:val="a"/>
    <w:link w:val="a7"/>
    <w:uiPriority w:val="99"/>
    <w:semiHidden/>
    <w:unhideWhenUsed/>
    <w:rsid w:val="000D626F"/>
    <w:pPr>
      <w:spacing w:line="240" w:lineRule="auto"/>
    </w:pPr>
    <w:rPr>
      <w:sz w:val="20"/>
      <w:szCs w:val="20"/>
    </w:rPr>
  </w:style>
  <w:style w:type="character" w:customStyle="1" w:styleId="a7">
    <w:name w:val="Текст на коментар Знак"/>
    <w:basedOn w:val="a0"/>
    <w:link w:val="a6"/>
    <w:uiPriority w:val="99"/>
    <w:semiHidden/>
    <w:rsid w:val="000D626F"/>
    <w:rPr>
      <w:sz w:val="20"/>
      <w:szCs w:val="20"/>
    </w:rPr>
  </w:style>
  <w:style w:type="paragraph" w:styleId="a8">
    <w:name w:val="annotation subject"/>
    <w:basedOn w:val="a6"/>
    <w:next w:val="a6"/>
    <w:link w:val="a9"/>
    <w:uiPriority w:val="99"/>
    <w:semiHidden/>
    <w:unhideWhenUsed/>
    <w:rsid w:val="000D626F"/>
    <w:rPr>
      <w:b/>
      <w:bCs/>
    </w:rPr>
  </w:style>
  <w:style w:type="character" w:customStyle="1" w:styleId="a9">
    <w:name w:val="Предмет на коментар Знак"/>
    <w:basedOn w:val="a7"/>
    <w:link w:val="a8"/>
    <w:uiPriority w:val="99"/>
    <w:semiHidden/>
    <w:rsid w:val="000D626F"/>
    <w:rPr>
      <w:b/>
      <w:bCs/>
      <w:sz w:val="20"/>
      <w:szCs w:val="20"/>
    </w:rPr>
  </w:style>
  <w:style w:type="paragraph" w:styleId="aa">
    <w:name w:val="Balloon Text"/>
    <w:basedOn w:val="a"/>
    <w:link w:val="ab"/>
    <w:uiPriority w:val="99"/>
    <w:semiHidden/>
    <w:unhideWhenUsed/>
    <w:rsid w:val="000D626F"/>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0D626F"/>
    <w:rPr>
      <w:rFonts w:ascii="Tahoma" w:hAnsi="Tahoma" w:cs="Tahoma"/>
      <w:sz w:val="16"/>
      <w:szCs w:val="16"/>
    </w:rPr>
  </w:style>
  <w:style w:type="character" w:customStyle="1" w:styleId="a4">
    <w:name w:val="Списък на абзаци Знак"/>
    <w:link w:val="a3"/>
    <w:uiPriority w:val="34"/>
    <w:locked/>
    <w:rsid w:val="000E4EF9"/>
  </w:style>
  <w:style w:type="paragraph" w:styleId="ac">
    <w:name w:val="Normal Indent"/>
    <w:basedOn w:val="a"/>
    <w:rsid w:val="0065403B"/>
    <w:pPr>
      <w:spacing w:after="0" w:line="240" w:lineRule="auto"/>
      <w:ind w:left="708"/>
    </w:pPr>
    <w:rPr>
      <w:rFonts w:ascii="Times New Roman" w:eastAsia="Times New Roman" w:hAnsi="Times New Roman" w:cs="Times New Roman"/>
      <w:bCs/>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1701</TotalTime>
  <Pages>16</Pages>
  <Words>5329</Words>
  <Characters>30381</Characters>
  <Application>Microsoft Office Word</Application>
  <DocSecurity>0</DocSecurity>
  <Lines>253</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cp:lastPrinted>2016-06-06T07:43:00Z</cp:lastPrinted>
  <dcterms:created xsi:type="dcterms:W3CDTF">2014-10-14T08:48:00Z</dcterms:created>
  <dcterms:modified xsi:type="dcterms:W3CDTF">2016-06-10T10:35:00Z</dcterms:modified>
</cp:coreProperties>
</file>